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Tulane-GSCASS Master of Finance</w:t>
      </w:r>
    </w:p>
    <w:p>
      <w:pPr>
        <w:spacing w:line="360" w:lineRule="auto"/>
        <w:jc w:val="center"/>
        <w:rPr>
          <w:rFonts w:hAnsi="宋体"/>
          <w:b/>
          <w:sz w:val="36"/>
          <w:szCs w:val="36"/>
        </w:rPr>
      </w:pPr>
      <w:r>
        <w:rPr>
          <w:rFonts w:hint="eastAsia" w:hAnsi="宋体"/>
          <w:b/>
          <w:sz w:val="36"/>
          <w:szCs w:val="36"/>
        </w:rPr>
        <w:t>中国社会科学院研究生院</w:t>
      </w:r>
      <w:r>
        <w:rPr>
          <w:b/>
          <w:sz w:val="36"/>
          <w:szCs w:val="36"/>
        </w:rPr>
        <w:t>—</w:t>
      </w:r>
      <w:r>
        <w:rPr>
          <w:rFonts w:hint="eastAsia" w:hAnsi="宋体"/>
          <w:b/>
          <w:sz w:val="36"/>
          <w:szCs w:val="36"/>
        </w:rPr>
        <w:t>杜兰大学</w:t>
      </w:r>
    </w:p>
    <w:p>
      <w:pPr>
        <w:spacing w:line="360" w:lineRule="auto"/>
        <w:jc w:val="center"/>
        <w:rPr>
          <w:rFonts w:hAnsi="宋体"/>
          <w:b/>
          <w:sz w:val="36"/>
          <w:szCs w:val="36"/>
        </w:rPr>
      </w:pPr>
      <w:r>
        <w:rPr>
          <w:rFonts w:hint="eastAsia" w:hAnsi="宋体"/>
          <w:b/>
          <w:sz w:val="36"/>
          <w:szCs w:val="36"/>
        </w:rPr>
        <w:t>金融管理硕士招生简章</w:t>
      </w:r>
    </w:p>
    <w:p>
      <w:pPr>
        <w:spacing w:line="360" w:lineRule="auto"/>
        <w:jc w:val="center"/>
        <w:rPr>
          <w:rFonts w:hAnsi="宋体"/>
          <w:b/>
          <w:sz w:val="36"/>
          <w:szCs w:val="36"/>
        </w:rPr>
      </w:pPr>
      <w:r>
        <w:rPr>
          <w:rFonts w:hint="eastAsia"/>
          <w:kern w:val="0"/>
          <w:sz w:val="24"/>
        </w:rPr>
        <w:t>（</w:t>
      </w:r>
      <w:r>
        <w:rPr>
          <w:rFonts w:hint="eastAsia"/>
          <w:b/>
          <w:bCs/>
          <w:kern w:val="0"/>
          <w:sz w:val="24"/>
        </w:rPr>
        <w:t>中外合作办学项目批准书编号</w:t>
      </w:r>
      <w:r>
        <w:rPr>
          <w:b/>
          <w:bCs/>
          <w:color w:val="333333"/>
          <w:sz w:val="24"/>
        </w:rPr>
        <w:t>MOE11US1A20121203N</w:t>
      </w:r>
      <w:r>
        <w:rPr>
          <w:rFonts w:hint="eastAsia"/>
          <w:color w:val="333333"/>
          <w:sz w:val="24"/>
        </w:rPr>
        <w:t>）</w:t>
      </w:r>
    </w:p>
    <w:p>
      <w:pPr>
        <w:widowControl/>
        <w:snapToGrid w:val="0"/>
        <w:spacing w:line="360" w:lineRule="auto"/>
        <w:jc w:val="left"/>
        <w:rPr>
          <w:rFonts w:cs="宋体"/>
          <w:b/>
          <w:color w:val="000080"/>
          <w:kern w:val="0"/>
          <w:sz w:val="24"/>
          <w:szCs w:val="21"/>
        </w:rPr>
      </w:pPr>
    </w:p>
    <w:p>
      <w:pPr>
        <w:spacing w:line="360" w:lineRule="auto"/>
        <w:ind w:firstLine="600" w:firstLineChars="250"/>
        <w:rPr>
          <w:sz w:val="24"/>
        </w:rPr>
      </w:pPr>
      <w:r>
        <w:rPr>
          <w:kern w:val="0"/>
          <w:sz w:val="24"/>
        </w:rPr>
        <w:t>2012</w:t>
      </w:r>
      <w:r>
        <w:rPr>
          <w:rFonts w:hint="eastAsia"/>
          <w:kern w:val="0"/>
          <w:sz w:val="24"/>
        </w:rPr>
        <w:t>年起中国社会科学院研究生院与美国杜兰大学（</w:t>
      </w:r>
      <w:r>
        <w:rPr>
          <w:kern w:val="0"/>
          <w:sz w:val="24"/>
        </w:rPr>
        <w:t>Tulane University</w:t>
      </w:r>
      <w:r>
        <w:rPr>
          <w:rFonts w:hint="eastAsia"/>
          <w:kern w:val="0"/>
          <w:sz w:val="24"/>
        </w:rPr>
        <w:t>）合作举办“金融管理硕士”</w:t>
      </w:r>
      <w:r>
        <w:rPr>
          <w:sz w:val="24"/>
        </w:rPr>
        <w:t xml:space="preserve"> </w:t>
      </w:r>
      <w:r>
        <w:rPr>
          <w:rFonts w:hint="eastAsia"/>
          <w:sz w:val="24"/>
        </w:rPr>
        <w:t>（</w:t>
      </w:r>
      <w:r>
        <w:rPr>
          <w:kern w:val="0"/>
          <w:sz w:val="24"/>
        </w:rPr>
        <w:t>Tulane-GSCASS Master of Financ</w:t>
      </w:r>
      <w:r>
        <w:rPr>
          <w:rFonts w:hint="eastAsia"/>
          <w:kern w:val="0"/>
          <w:sz w:val="24"/>
        </w:rPr>
        <w:t>e，</w:t>
      </w:r>
      <w:r>
        <w:rPr>
          <w:rFonts w:hint="eastAsia"/>
          <w:sz w:val="24"/>
        </w:rPr>
        <w:t>简称</w:t>
      </w:r>
      <w:r>
        <w:rPr>
          <w:sz w:val="24"/>
        </w:rPr>
        <w:t>MFIN</w:t>
      </w:r>
      <w:r>
        <w:rPr>
          <w:rFonts w:hint="eastAsia"/>
          <w:sz w:val="24"/>
        </w:rPr>
        <w:t>）</w:t>
      </w:r>
      <w:r>
        <w:rPr>
          <w:rFonts w:hint="eastAsia"/>
          <w:kern w:val="0"/>
          <w:sz w:val="24"/>
        </w:rPr>
        <w:t>项目，经教育部批准（中外合作办学项目批准书编号</w:t>
      </w:r>
      <w:r>
        <w:rPr>
          <w:color w:val="333333"/>
          <w:sz w:val="24"/>
        </w:rPr>
        <w:t>MOE11US1A20121203N</w:t>
      </w:r>
      <w:r>
        <w:rPr>
          <w:rFonts w:hint="eastAsia"/>
          <w:sz w:val="24"/>
        </w:rPr>
        <w:t>教育部中外合作办学监管工作信息网项目信息</w:t>
      </w:r>
      <w:r>
        <w:rPr>
          <w:rFonts w:hint="eastAsia"/>
          <w:color w:val="0000FF"/>
          <w:kern w:val="0"/>
          <w:sz w:val="24"/>
          <w:lang w:val="en-US" w:eastAsia="zh-CN"/>
        </w:rPr>
        <w:t>(</w:t>
      </w:r>
      <w:r>
        <w:rPr>
          <w:rFonts w:hint="eastAsia"/>
          <w:color w:val="0000FF"/>
          <w:kern w:val="0"/>
          <w:sz w:val="24"/>
        </w:rPr>
        <w:t>http://www.crs.jsj.edu.cn/aproval/detail/693），</w:t>
      </w:r>
      <w:r>
        <w:rPr>
          <w:rFonts w:hint="eastAsia"/>
          <w:kern w:val="0"/>
          <w:sz w:val="24"/>
        </w:rPr>
        <w:t>每期招生60人，学员在职学习，学制为</w:t>
      </w:r>
      <w:r>
        <w:rPr>
          <w:kern w:val="0"/>
          <w:sz w:val="24"/>
        </w:rPr>
        <w:t>18</w:t>
      </w:r>
      <w:r>
        <w:rPr>
          <w:rFonts w:hint="eastAsia"/>
          <w:kern w:val="0"/>
          <w:sz w:val="24"/>
        </w:rPr>
        <w:t>个月。</w:t>
      </w:r>
    </w:p>
    <w:p>
      <w:pPr>
        <w:spacing w:line="360" w:lineRule="auto"/>
        <w:rPr>
          <w:rFonts w:cs="宋体"/>
          <w:b/>
          <w:color w:val="1F497D"/>
          <w:kern w:val="0"/>
          <w:sz w:val="24"/>
        </w:rPr>
      </w:pPr>
    </w:p>
    <w:p>
      <w:pPr>
        <w:spacing w:line="360" w:lineRule="auto"/>
        <w:rPr>
          <w:rFonts w:cs="宋体"/>
          <w:b/>
          <w:color w:val="1F497D"/>
          <w:kern w:val="0"/>
          <w:sz w:val="24"/>
        </w:rPr>
      </w:pPr>
      <w:r>
        <w:rPr>
          <w:rFonts w:hint="eastAsia" w:cs="宋体"/>
          <w:b/>
          <w:color w:val="1F497D"/>
          <w:kern w:val="0"/>
          <w:sz w:val="24"/>
        </w:rPr>
        <w:t>一、学校简介</w:t>
      </w:r>
    </w:p>
    <w:p>
      <w:pPr>
        <w:spacing w:line="360" w:lineRule="auto"/>
        <w:rPr>
          <w:b/>
          <w:sz w:val="24"/>
          <w:u w:val="single"/>
        </w:rPr>
      </w:pPr>
      <w:bookmarkStart w:id="0" w:name="OLE_LINK13"/>
      <w:bookmarkStart w:id="1" w:name="OLE_LINK14"/>
      <w:r>
        <w:rPr>
          <w:rFonts w:hint="eastAsia"/>
          <w:b/>
          <w:sz w:val="24"/>
          <w:u w:val="single"/>
        </w:rPr>
        <w:t>美国杜兰大学与弗里曼商学院（</w:t>
      </w:r>
      <w:r>
        <w:rPr>
          <w:b/>
          <w:sz w:val="24"/>
          <w:u w:val="single"/>
        </w:rPr>
        <w:t>Freeman School of Business, Tulane University</w:t>
      </w:r>
      <w:r>
        <w:rPr>
          <w:rFonts w:hint="eastAsia"/>
          <w:b/>
          <w:sz w:val="24"/>
          <w:u w:val="single"/>
        </w:rPr>
        <w:t>）</w:t>
      </w:r>
    </w:p>
    <w:p>
      <w:pPr>
        <w:numPr>
          <w:ilvl w:val="0"/>
          <w:numId w:val="1"/>
        </w:numPr>
        <w:tabs>
          <w:tab w:val="left" w:pos="672"/>
          <w:tab w:val="clear" w:pos="840"/>
        </w:tabs>
        <w:spacing w:line="360" w:lineRule="auto"/>
        <w:rPr>
          <w:sz w:val="24"/>
        </w:rPr>
      </w:pPr>
      <w:r>
        <w:rPr>
          <w:sz w:val="24"/>
        </w:rPr>
        <w:t>1</w:t>
      </w:r>
      <w:r>
        <w:rPr>
          <w:rFonts w:hint="eastAsia"/>
          <w:sz w:val="24"/>
        </w:rPr>
        <w:t>80年历史，综合排名全美40名（U.S.News）</w:t>
      </w:r>
    </w:p>
    <w:p>
      <w:pPr>
        <w:numPr>
          <w:ilvl w:val="0"/>
          <w:numId w:val="1"/>
        </w:numPr>
        <w:tabs>
          <w:tab w:val="left" w:pos="686"/>
          <w:tab w:val="clear" w:pos="840"/>
        </w:tabs>
        <w:spacing w:line="360" w:lineRule="auto"/>
        <w:rPr>
          <w:sz w:val="24"/>
        </w:rPr>
      </w:pPr>
      <w:r>
        <w:rPr>
          <w:rFonts w:hint="eastAsia"/>
          <w:sz w:val="24"/>
        </w:rPr>
        <w:t>美国商学院联盟（</w:t>
      </w:r>
      <w:r>
        <w:rPr>
          <w:sz w:val="24"/>
        </w:rPr>
        <w:t>AACSB</w:t>
      </w:r>
      <w:r>
        <w:rPr>
          <w:rFonts w:hint="eastAsia"/>
          <w:sz w:val="24"/>
        </w:rPr>
        <w:t>）创始成员之一</w:t>
      </w:r>
    </w:p>
    <w:p>
      <w:pPr>
        <w:numPr>
          <w:ilvl w:val="0"/>
          <w:numId w:val="1"/>
        </w:numPr>
        <w:tabs>
          <w:tab w:val="left" w:pos="672"/>
          <w:tab w:val="clear" w:pos="840"/>
        </w:tabs>
        <w:spacing w:line="360" w:lineRule="auto"/>
        <w:rPr>
          <w:sz w:val="24"/>
        </w:rPr>
      </w:pPr>
      <w:r>
        <w:rPr>
          <w:color w:val="000000"/>
          <w:sz w:val="24"/>
        </w:rPr>
        <w:t>MFIN</w:t>
      </w:r>
      <w:r>
        <w:rPr>
          <w:rFonts w:hint="eastAsia" w:hAnsi="宋体"/>
          <w:color w:val="000000"/>
          <w:sz w:val="24"/>
        </w:rPr>
        <w:t>项目</w:t>
      </w:r>
      <w:r>
        <w:rPr>
          <w:rFonts w:hint="eastAsia" w:hAnsi="宋体"/>
          <w:color w:val="FF0000"/>
          <w:sz w:val="24"/>
        </w:rPr>
        <w:t>全美第</w:t>
      </w:r>
      <w:r>
        <w:rPr>
          <w:color w:val="FF0000"/>
          <w:sz w:val="24"/>
        </w:rPr>
        <w:t>3</w:t>
      </w:r>
      <w:r>
        <w:rPr>
          <w:rFonts w:hint="eastAsia" w:hAnsi="宋体"/>
          <w:color w:val="FF0000"/>
          <w:sz w:val="24"/>
        </w:rPr>
        <w:t>位，全球前</w:t>
      </w:r>
      <w:r>
        <w:rPr>
          <w:color w:val="FF0000"/>
          <w:sz w:val="24"/>
        </w:rPr>
        <w:t>30</w:t>
      </w:r>
      <w:r>
        <w:rPr>
          <w:rFonts w:hint="eastAsia" w:hAnsi="宋体"/>
          <w:color w:val="FF0000"/>
          <w:sz w:val="24"/>
        </w:rPr>
        <w:t>名</w:t>
      </w:r>
      <w:r>
        <w:rPr>
          <w:rFonts w:hint="eastAsia" w:hAnsi="宋体"/>
          <w:color w:val="000000"/>
          <w:sz w:val="24"/>
        </w:rPr>
        <w:t>（《金融时报》</w:t>
      </w:r>
      <w:r>
        <w:rPr>
          <w:color w:val="000000"/>
          <w:sz w:val="24"/>
        </w:rPr>
        <w:t>201</w:t>
      </w:r>
      <w:r>
        <w:rPr>
          <w:rFonts w:hint="eastAsia"/>
          <w:color w:val="000000"/>
          <w:sz w:val="24"/>
        </w:rPr>
        <w:t>5</w:t>
      </w:r>
      <w:r>
        <w:rPr>
          <w:rFonts w:hint="eastAsia" w:hAnsi="宋体"/>
          <w:color w:val="000000"/>
          <w:sz w:val="24"/>
        </w:rPr>
        <w:t>年排名）</w:t>
      </w:r>
    </w:p>
    <w:p>
      <w:pPr>
        <w:numPr>
          <w:ilvl w:val="0"/>
          <w:numId w:val="0"/>
        </w:numPr>
        <w:tabs>
          <w:tab w:val="left" w:pos="672"/>
        </w:tabs>
        <w:spacing w:line="360" w:lineRule="auto"/>
        <w:ind w:left="420" w:leftChars="0"/>
        <w:rPr>
          <w:sz w:val="24"/>
        </w:rPr>
      </w:pPr>
    </w:p>
    <w:p>
      <w:pPr>
        <w:spacing w:line="360" w:lineRule="auto"/>
        <w:rPr>
          <w:b/>
          <w:sz w:val="24"/>
          <w:u w:val="thick"/>
        </w:rPr>
      </w:pPr>
      <w:r>
        <w:rPr>
          <w:rFonts w:hint="eastAsia"/>
          <w:b/>
          <w:sz w:val="24"/>
          <w:u w:val="thick"/>
        </w:rPr>
        <w:t>中国社会科学院及研究生院</w:t>
      </w:r>
    </w:p>
    <w:p>
      <w:pPr>
        <w:numPr>
          <w:ilvl w:val="0"/>
          <w:numId w:val="2"/>
        </w:numPr>
        <w:tabs>
          <w:tab w:val="left" w:pos="720"/>
          <w:tab w:val="clear" w:pos="420"/>
        </w:tabs>
        <w:spacing w:line="360" w:lineRule="auto"/>
        <w:ind w:firstLine="0"/>
        <w:rPr>
          <w:sz w:val="24"/>
        </w:rPr>
      </w:pPr>
      <w:r>
        <w:rPr>
          <w:rFonts w:hint="eastAsia"/>
          <w:sz w:val="24"/>
        </w:rPr>
        <w:t>中国人文社会科学最高学术机构，国家的思想库、智囊团</w:t>
      </w:r>
    </w:p>
    <w:p>
      <w:pPr>
        <w:numPr>
          <w:ilvl w:val="0"/>
          <w:numId w:val="2"/>
        </w:numPr>
        <w:tabs>
          <w:tab w:val="left" w:pos="720"/>
          <w:tab w:val="clear" w:pos="420"/>
        </w:tabs>
        <w:spacing w:line="360" w:lineRule="auto"/>
        <w:ind w:firstLine="0"/>
        <w:rPr>
          <w:sz w:val="24"/>
        </w:rPr>
      </w:pPr>
      <w:r>
        <w:rPr>
          <w:sz w:val="24"/>
        </w:rPr>
        <w:t>6</w:t>
      </w:r>
      <w:r>
        <w:rPr>
          <w:rFonts w:hint="eastAsia"/>
          <w:sz w:val="24"/>
        </w:rPr>
        <w:t>大学部，</w:t>
      </w:r>
      <w:r>
        <w:rPr>
          <w:sz w:val="24"/>
        </w:rPr>
        <w:t>38</w:t>
      </w:r>
      <w:r>
        <w:rPr>
          <w:rFonts w:hint="eastAsia"/>
          <w:sz w:val="24"/>
        </w:rPr>
        <w:t>个研究院所，</w:t>
      </w:r>
      <w:r>
        <w:rPr>
          <w:sz w:val="24"/>
        </w:rPr>
        <w:t>180</w:t>
      </w:r>
      <w:r>
        <w:rPr>
          <w:rFonts w:hint="eastAsia"/>
          <w:sz w:val="24"/>
        </w:rPr>
        <w:t>多个研究中心，</w:t>
      </w:r>
      <w:r>
        <w:rPr>
          <w:sz w:val="24"/>
        </w:rPr>
        <w:t>3300</w:t>
      </w:r>
      <w:r>
        <w:rPr>
          <w:rFonts w:hint="eastAsia"/>
          <w:sz w:val="24"/>
        </w:rPr>
        <w:t>多名科研人员</w:t>
      </w:r>
    </w:p>
    <w:p>
      <w:pPr>
        <w:numPr>
          <w:ilvl w:val="0"/>
          <w:numId w:val="2"/>
        </w:numPr>
        <w:tabs>
          <w:tab w:val="clear" w:pos="420"/>
        </w:tabs>
        <w:spacing w:line="360" w:lineRule="auto"/>
        <w:ind w:left="760" w:leftChars="200" w:hanging="340" w:hangingChars="142"/>
        <w:rPr>
          <w:sz w:val="24"/>
        </w:rPr>
      </w:pPr>
      <w:r>
        <w:rPr>
          <w:rFonts w:hint="eastAsia"/>
          <w:sz w:val="24"/>
        </w:rPr>
        <w:t>设有经济研究所、金融研究所、财经战略研究院、工业经济研究所等专业金融与财经研究机构</w:t>
      </w:r>
    </w:p>
    <w:p>
      <w:pPr>
        <w:numPr>
          <w:ilvl w:val="0"/>
          <w:numId w:val="2"/>
        </w:numPr>
        <w:spacing w:line="360" w:lineRule="auto"/>
        <w:ind w:left="718" w:hanging="298"/>
        <w:rPr>
          <w:sz w:val="24"/>
        </w:rPr>
      </w:pPr>
      <w:r>
        <w:rPr>
          <w:rFonts w:hint="eastAsia"/>
          <w:sz w:val="24"/>
        </w:rPr>
        <w:t>国内最佳人文社科研究生院，经济学科排名第一</w:t>
      </w:r>
    </w:p>
    <w:p>
      <w:pPr>
        <w:numPr>
          <w:ilvl w:val="0"/>
          <w:numId w:val="2"/>
        </w:numPr>
        <w:spacing w:line="360" w:lineRule="auto"/>
        <w:ind w:left="718" w:hanging="298"/>
        <w:rPr>
          <w:sz w:val="24"/>
        </w:rPr>
      </w:pPr>
      <w:r>
        <w:rPr>
          <w:rFonts w:hint="eastAsia"/>
          <w:sz w:val="24"/>
        </w:rPr>
        <w:t>教育部中外合作办学监管工作信息网项目信息：</w:t>
      </w:r>
    </w:p>
    <w:p>
      <w:pPr>
        <w:numPr>
          <w:ilvl w:val="0"/>
          <w:numId w:val="2"/>
        </w:numPr>
        <w:spacing w:line="360" w:lineRule="auto"/>
        <w:ind w:left="718" w:hanging="298"/>
        <w:rPr>
          <w:sz w:val="24"/>
        </w:rPr>
      </w:pPr>
      <w:r>
        <w:rPr>
          <w:rFonts w:hint="eastAsia"/>
          <w:color w:val="0000FF"/>
          <w:kern w:val="0"/>
          <w:sz w:val="24"/>
        </w:rPr>
        <w:fldChar w:fldCharType="begin"/>
      </w:r>
      <w:r>
        <w:rPr>
          <w:rFonts w:hint="eastAsia"/>
          <w:color w:val="0000FF"/>
          <w:kern w:val="0"/>
          <w:sz w:val="24"/>
        </w:rPr>
        <w:instrText xml:space="preserve"> HYPERLINK "http://www.crs.jsj.edu.cn/aproval/detail/693" </w:instrText>
      </w:r>
      <w:r>
        <w:rPr>
          <w:rFonts w:hint="eastAsia"/>
          <w:color w:val="0000FF"/>
          <w:kern w:val="0"/>
          <w:sz w:val="24"/>
        </w:rPr>
        <w:fldChar w:fldCharType="separate"/>
      </w:r>
      <w:r>
        <w:rPr>
          <w:rStyle w:val="8"/>
          <w:rFonts w:hint="eastAsia"/>
          <w:kern w:val="0"/>
          <w:sz w:val="24"/>
        </w:rPr>
        <w:t>http://www.crs.jsj.edu.cn/aproval/detail/693</w:t>
      </w:r>
      <w:r>
        <w:rPr>
          <w:rFonts w:hint="eastAsia"/>
          <w:color w:val="0000FF"/>
          <w:kern w:val="0"/>
          <w:sz w:val="24"/>
        </w:rPr>
        <w:fldChar w:fldCharType="end"/>
      </w:r>
    </w:p>
    <w:p>
      <w:pPr>
        <w:numPr>
          <w:ilvl w:val="0"/>
          <w:numId w:val="0"/>
        </w:numPr>
        <w:spacing w:line="360" w:lineRule="auto"/>
        <w:ind w:left="420" w:leftChars="0"/>
        <w:rPr>
          <w:sz w:val="24"/>
        </w:rPr>
      </w:pPr>
    </w:p>
    <w:bookmarkEnd w:id="0"/>
    <w:bookmarkEnd w:id="1"/>
    <w:p>
      <w:pPr>
        <w:spacing w:line="360" w:lineRule="auto"/>
        <w:rPr>
          <w:b/>
          <w:color w:val="1F497D"/>
          <w:kern w:val="0"/>
          <w:sz w:val="24"/>
        </w:rPr>
      </w:pPr>
    </w:p>
    <w:p>
      <w:pPr>
        <w:numPr>
          <w:ilvl w:val="0"/>
          <w:numId w:val="3"/>
        </w:numPr>
        <w:spacing w:line="360" w:lineRule="auto"/>
        <w:rPr>
          <w:b/>
          <w:color w:val="1F497D"/>
          <w:kern w:val="0"/>
          <w:sz w:val="24"/>
        </w:rPr>
      </w:pPr>
      <w:r>
        <w:rPr>
          <w:rFonts w:hint="eastAsia"/>
          <w:b/>
          <w:color w:val="1F497D"/>
          <w:kern w:val="0"/>
          <w:sz w:val="24"/>
        </w:rPr>
        <w:t>项目特色</w:t>
      </w:r>
      <w:bookmarkStart w:id="2" w:name="OLE_LINK26"/>
      <w:bookmarkStart w:id="3" w:name="OLE_LINK25"/>
    </w:p>
    <w:bookmarkEnd w:id="2"/>
    <w:bookmarkEnd w:id="3"/>
    <w:p>
      <w:pPr>
        <w:numPr>
          <w:ilvl w:val="0"/>
          <w:numId w:val="4"/>
        </w:numPr>
        <w:spacing w:line="360" w:lineRule="auto"/>
        <w:rPr>
          <w:rFonts w:cs="宋体"/>
          <w:kern w:val="0"/>
          <w:sz w:val="24"/>
        </w:rPr>
      </w:pPr>
      <w:r>
        <w:rPr>
          <w:rFonts w:hint="eastAsia"/>
          <w:kern w:val="0"/>
          <w:sz w:val="24"/>
        </w:rPr>
        <w:t>每期招生60人，学生在职学习，学制为</w:t>
      </w:r>
      <w:r>
        <w:rPr>
          <w:kern w:val="0"/>
          <w:sz w:val="24"/>
        </w:rPr>
        <w:t>18</w:t>
      </w:r>
      <w:r>
        <w:rPr>
          <w:rFonts w:hint="eastAsia"/>
          <w:kern w:val="0"/>
          <w:sz w:val="24"/>
        </w:rPr>
        <w:t>个月。</w:t>
      </w:r>
    </w:p>
    <w:p>
      <w:pPr>
        <w:numPr>
          <w:ilvl w:val="0"/>
          <w:numId w:val="4"/>
        </w:numPr>
        <w:spacing w:line="360" w:lineRule="auto"/>
        <w:rPr>
          <w:rFonts w:cs="宋体"/>
          <w:kern w:val="0"/>
          <w:sz w:val="24"/>
        </w:rPr>
      </w:pPr>
      <w:r>
        <w:rPr>
          <w:rFonts w:hint="eastAsia" w:cs="宋体"/>
          <w:kern w:val="0"/>
          <w:sz w:val="24"/>
        </w:rPr>
        <w:t>中美名校强强联手</w:t>
      </w:r>
    </w:p>
    <w:p>
      <w:pPr>
        <w:numPr>
          <w:ilvl w:val="0"/>
          <w:numId w:val="4"/>
        </w:numPr>
        <w:spacing w:line="360" w:lineRule="auto"/>
        <w:rPr>
          <w:rFonts w:cs="宋体"/>
          <w:kern w:val="0"/>
          <w:sz w:val="24"/>
        </w:rPr>
      </w:pPr>
      <w:r>
        <w:rPr>
          <w:rFonts w:hint="eastAsia" w:cs="宋体"/>
          <w:kern w:val="0"/>
          <w:sz w:val="24"/>
        </w:rPr>
        <w:t>社科院与杜兰名师荟萃</w:t>
      </w:r>
    </w:p>
    <w:p>
      <w:pPr>
        <w:numPr>
          <w:ilvl w:val="0"/>
          <w:numId w:val="4"/>
        </w:numPr>
        <w:spacing w:line="360" w:lineRule="auto"/>
        <w:rPr>
          <w:rFonts w:cs="宋体"/>
          <w:kern w:val="0"/>
          <w:sz w:val="24"/>
        </w:rPr>
      </w:pPr>
      <w:r>
        <w:rPr>
          <w:rFonts w:hint="eastAsia" w:cs="宋体"/>
          <w:kern w:val="0"/>
          <w:sz w:val="24"/>
        </w:rPr>
        <w:t>不出国门获国际顶尖金融学位</w:t>
      </w:r>
    </w:p>
    <w:p>
      <w:pPr>
        <w:numPr>
          <w:ilvl w:val="0"/>
          <w:numId w:val="4"/>
        </w:numPr>
        <w:spacing w:line="360" w:lineRule="auto"/>
        <w:rPr>
          <w:rFonts w:cs="宋体"/>
          <w:kern w:val="0"/>
          <w:sz w:val="24"/>
        </w:rPr>
      </w:pPr>
      <w:r>
        <w:rPr>
          <w:rFonts w:hint="eastAsia" w:cs="宋体"/>
          <w:kern w:val="0"/>
          <w:sz w:val="24"/>
        </w:rPr>
        <w:t>全面掌握前沿理论与金融工具</w:t>
      </w:r>
    </w:p>
    <w:p>
      <w:pPr>
        <w:numPr>
          <w:ilvl w:val="0"/>
          <w:numId w:val="4"/>
        </w:numPr>
        <w:spacing w:line="360" w:lineRule="auto"/>
        <w:rPr>
          <w:rFonts w:cs="宋体"/>
          <w:kern w:val="0"/>
          <w:sz w:val="24"/>
        </w:rPr>
      </w:pPr>
      <w:r>
        <w:rPr>
          <w:rFonts w:hint="eastAsia" w:cs="宋体"/>
          <w:kern w:val="0"/>
          <w:sz w:val="24"/>
        </w:rPr>
        <w:t>全球化的金融界社交平台</w:t>
      </w:r>
    </w:p>
    <w:p>
      <w:pPr>
        <w:numPr>
          <w:ilvl w:val="0"/>
          <w:numId w:val="4"/>
        </w:numPr>
        <w:spacing w:line="360" w:lineRule="auto"/>
        <w:rPr>
          <w:b/>
          <w:color w:val="1F497D"/>
          <w:kern w:val="0"/>
          <w:sz w:val="24"/>
        </w:rPr>
      </w:pPr>
      <w:r>
        <w:rPr>
          <w:rFonts w:hint="eastAsia" w:cs="宋体"/>
          <w:kern w:val="0"/>
          <w:sz w:val="24"/>
        </w:rPr>
        <w:t>创造职业生涯的转折点</w:t>
      </w:r>
    </w:p>
    <w:p>
      <w:pPr>
        <w:spacing w:line="360" w:lineRule="auto"/>
        <w:rPr>
          <w:b/>
          <w:color w:val="1F497D"/>
          <w:kern w:val="0"/>
          <w:sz w:val="24"/>
        </w:rPr>
      </w:pPr>
    </w:p>
    <w:p>
      <w:pPr>
        <w:spacing w:line="360" w:lineRule="auto"/>
        <w:rPr>
          <w:b/>
          <w:color w:val="1F497D"/>
          <w:kern w:val="0"/>
          <w:sz w:val="24"/>
        </w:rPr>
      </w:pPr>
      <w:r>
        <w:rPr>
          <w:rFonts w:hint="eastAsia"/>
          <w:b/>
          <w:color w:val="1F497D"/>
          <w:kern w:val="0"/>
          <w:sz w:val="24"/>
        </w:rPr>
        <w:t>三、详细信息</w:t>
      </w:r>
    </w:p>
    <w:tbl>
      <w:tblPr>
        <w:tblStyle w:val="5"/>
        <w:tblW w:w="852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48"/>
        <w:gridCol w:w="607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8" w:type="dxa"/>
            <w:vAlign w:val="center"/>
          </w:tcPr>
          <w:p>
            <w:pPr>
              <w:widowControl/>
              <w:snapToGrid w:val="0"/>
              <w:jc w:val="center"/>
              <w:rPr>
                <w:rFonts w:hAnsi="Arial" w:cs="宋体"/>
                <w:b/>
                <w:kern w:val="0"/>
                <w:szCs w:val="21"/>
              </w:rPr>
            </w:pPr>
            <w:r>
              <w:rPr>
                <w:rFonts w:hint="eastAsia" w:hAnsi="Arial" w:cs="宋体"/>
                <w:b/>
                <w:kern w:val="0"/>
                <w:szCs w:val="21"/>
              </w:rPr>
              <w:t>项目名称</w:t>
            </w:r>
          </w:p>
        </w:tc>
        <w:tc>
          <w:tcPr>
            <w:tcW w:w="6074" w:type="dxa"/>
            <w:vAlign w:val="center"/>
          </w:tcPr>
          <w:p>
            <w:pPr>
              <w:spacing w:line="400" w:lineRule="exact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Tulane-GSCASS Master of Finance </w:t>
            </w:r>
          </w:p>
          <w:p>
            <w:pPr>
              <w:spacing w:line="400" w:lineRule="exact"/>
              <w:rPr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中国社会科学院研究生院</w:t>
            </w:r>
            <w:r>
              <w:rPr>
                <w:kern w:val="0"/>
                <w:szCs w:val="21"/>
              </w:rPr>
              <w:t>—</w:t>
            </w:r>
            <w:r>
              <w:rPr>
                <w:rFonts w:hint="eastAsia"/>
                <w:kern w:val="0"/>
                <w:szCs w:val="21"/>
              </w:rPr>
              <w:t>杜兰大学金融管理硕士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8" w:type="dxa"/>
            <w:vAlign w:val="center"/>
          </w:tcPr>
          <w:p>
            <w:pPr>
              <w:widowControl/>
              <w:snapToGrid w:val="0"/>
              <w:jc w:val="center"/>
              <w:rPr>
                <w:rFonts w:hAnsi="Arial" w:cs="宋体"/>
                <w:b/>
                <w:kern w:val="0"/>
                <w:szCs w:val="21"/>
              </w:rPr>
            </w:pPr>
            <w:r>
              <w:rPr>
                <w:rFonts w:hint="eastAsia" w:hAnsi="Arial" w:cs="宋体"/>
                <w:b/>
                <w:kern w:val="0"/>
                <w:szCs w:val="21"/>
              </w:rPr>
              <w:t>招生人数</w:t>
            </w:r>
          </w:p>
        </w:tc>
        <w:tc>
          <w:tcPr>
            <w:tcW w:w="6074" w:type="dxa"/>
            <w:vAlign w:val="center"/>
          </w:tcPr>
          <w:p>
            <w:pPr>
              <w:spacing w:line="40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  <w:r>
              <w:rPr>
                <w:szCs w:val="21"/>
              </w:rPr>
              <w:t>0</w:t>
            </w:r>
            <w:r>
              <w:rPr>
                <w:rFonts w:hint="eastAsia"/>
                <w:szCs w:val="21"/>
              </w:rPr>
              <w:t>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8" w:type="dxa"/>
            <w:vAlign w:val="center"/>
          </w:tcPr>
          <w:p>
            <w:pPr>
              <w:widowControl/>
              <w:snapToGrid w:val="0"/>
              <w:jc w:val="center"/>
              <w:rPr>
                <w:rFonts w:hAnsi="Arial" w:cs="宋体"/>
                <w:b/>
                <w:kern w:val="0"/>
                <w:szCs w:val="21"/>
              </w:rPr>
            </w:pPr>
            <w:r>
              <w:rPr>
                <w:rFonts w:hint="eastAsia" w:hAnsi="Arial" w:cs="宋体"/>
                <w:b/>
                <w:kern w:val="0"/>
                <w:szCs w:val="21"/>
              </w:rPr>
              <w:t>招生方式</w:t>
            </w:r>
          </w:p>
        </w:tc>
        <w:tc>
          <w:tcPr>
            <w:tcW w:w="6074" w:type="dxa"/>
            <w:vAlign w:val="center"/>
          </w:tcPr>
          <w:p>
            <w:pPr>
              <w:spacing w:line="40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自主招生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1" w:hRule="atLeast"/>
        </w:trPr>
        <w:tc>
          <w:tcPr>
            <w:tcW w:w="2448" w:type="dxa"/>
            <w:vAlign w:val="center"/>
          </w:tcPr>
          <w:p>
            <w:pPr>
              <w:widowControl/>
              <w:snapToGrid w:val="0"/>
              <w:jc w:val="center"/>
              <w:rPr>
                <w:rFonts w:hAnsi="Arial" w:cs="宋体"/>
                <w:b/>
                <w:kern w:val="0"/>
                <w:szCs w:val="21"/>
              </w:rPr>
            </w:pPr>
            <w:r>
              <w:rPr>
                <w:rFonts w:hint="eastAsia" w:hAnsi="Arial" w:cs="宋体"/>
                <w:b/>
                <w:kern w:val="0"/>
                <w:szCs w:val="21"/>
              </w:rPr>
              <w:t>毕业文凭</w:t>
            </w:r>
          </w:p>
        </w:tc>
        <w:tc>
          <w:tcPr>
            <w:tcW w:w="6074" w:type="dxa"/>
            <w:vAlign w:val="center"/>
          </w:tcPr>
          <w:p>
            <w:pPr>
              <w:spacing w:line="40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1.杜兰大学金融管理硕士（</w:t>
            </w:r>
            <w:r>
              <w:rPr>
                <w:szCs w:val="21"/>
              </w:rPr>
              <w:t>Ma</w:t>
            </w:r>
            <w:r>
              <w:rPr>
                <w:rFonts w:hint="eastAsia"/>
                <w:szCs w:val="21"/>
              </w:rPr>
              <w:t>s</w:t>
            </w:r>
            <w:r>
              <w:rPr>
                <w:szCs w:val="21"/>
              </w:rPr>
              <w:t>ter of Finance</w:t>
            </w:r>
            <w:r>
              <w:rPr>
                <w:rFonts w:hint="eastAsia"/>
                <w:szCs w:val="21"/>
              </w:rPr>
              <w:t>）学位证书</w:t>
            </w:r>
          </w:p>
          <w:p>
            <w:pPr>
              <w:spacing w:line="40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2.教育部留学服务中心：国外学历学位认证书</w:t>
            </w:r>
            <w:r>
              <w:rPr>
                <w:szCs w:val="21"/>
              </w:rPr>
              <w:t xml:space="preserve">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</w:trPr>
        <w:tc>
          <w:tcPr>
            <w:tcW w:w="2448" w:type="dxa"/>
            <w:vAlign w:val="center"/>
          </w:tcPr>
          <w:p>
            <w:pPr>
              <w:widowControl/>
              <w:snapToGrid w:val="0"/>
              <w:jc w:val="center"/>
              <w:rPr>
                <w:rFonts w:hAnsi="Arial" w:cs="宋体"/>
                <w:b/>
                <w:kern w:val="0"/>
                <w:szCs w:val="21"/>
              </w:rPr>
            </w:pPr>
            <w:bookmarkStart w:id="6" w:name="_GoBack"/>
            <w:r>
              <w:rPr>
                <w:rFonts w:hint="eastAsia" w:hAnsi="Arial" w:cs="宋体"/>
                <w:b/>
                <w:kern w:val="0"/>
                <w:szCs w:val="21"/>
              </w:rPr>
              <w:t>招生对象</w:t>
            </w:r>
          </w:p>
        </w:tc>
        <w:tc>
          <w:tcPr>
            <w:tcW w:w="6074" w:type="dxa"/>
            <w:vAlign w:val="center"/>
          </w:tcPr>
          <w:p>
            <w:pPr>
              <w:spacing w:line="40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银行、证券、信托及其他金融行业的从业人员；</w:t>
            </w:r>
          </w:p>
          <w:p>
            <w:pPr>
              <w:spacing w:line="40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政府金融部门及金融监管机构的官员；</w:t>
            </w:r>
          </w:p>
          <w:p>
            <w:pPr>
              <w:spacing w:line="40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各类企业、特别是能源企业金融财务部门的中层管理者；</w:t>
            </w:r>
          </w:p>
          <w:p>
            <w:pPr>
              <w:spacing w:line="40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有志于从事金融业务的资深职业人士。</w:t>
            </w:r>
          </w:p>
        </w:tc>
      </w:tr>
      <w:bookmarkEnd w:id="6"/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3" w:hRule="atLeast"/>
        </w:trPr>
        <w:tc>
          <w:tcPr>
            <w:tcW w:w="2448" w:type="dxa"/>
            <w:vAlign w:val="center"/>
          </w:tcPr>
          <w:p>
            <w:pPr>
              <w:widowControl/>
              <w:snapToGrid w:val="0"/>
              <w:jc w:val="center"/>
              <w:rPr>
                <w:rFonts w:hAnsi="Arial" w:cs="宋体"/>
                <w:b/>
                <w:kern w:val="0"/>
                <w:szCs w:val="21"/>
              </w:rPr>
            </w:pPr>
            <w:r>
              <w:rPr>
                <w:rFonts w:hint="eastAsia" w:hAnsi="Arial" w:cs="宋体"/>
                <w:b/>
                <w:kern w:val="0"/>
                <w:szCs w:val="21"/>
              </w:rPr>
              <w:t>学习方式</w:t>
            </w:r>
          </w:p>
        </w:tc>
        <w:tc>
          <w:tcPr>
            <w:tcW w:w="6074" w:type="dxa"/>
            <w:vAlign w:val="center"/>
          </w:tcPr>
          <w:p>
            <w:pPr>
              <w:spacing w:line="400" w:lineRule="exact"/>
              <w:rPr>
                <w:szCs w:val="21"/>
              </w:rPr>
            </w:pPr>
            <w:r>
              <w:rPr>
                <w:szCs w:val="21"/>
              </w:rPr>
              <w:t>18</w:t>
            </w:r>
            <w:r>
              <w:rPr>
                <w:rFonts w:hint="eastAsia"/>
                <w:szCs w:val="21"/>
              </w:rPr>
              <w:t>个月，</w:t>
            </w:r>
            <w:r>
              <w:rPr>
                <w:szCs w:val="21"/>
              </w:rPr>
              <w:t>4</w:t>
            </w:r>
            <w:r>
              <w:rPr>
                <w:rFonts w:hint="eastAsia"/>
                <w:szCs w:val="21"/>
              </w:rPr>
              <w:t>个学期在职学习；</w:t>
            </w:r>
          </w:p>
          <w:p>
            <w:pPr>
              <w:spacing w:line="40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每月集中授课一到二次，利用周六、周日全天上课；</w:t>
            </w:r>
          </w:p>
          <w:p>
            <w:pPr>
              <w:spacing w:line="40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食宿自理。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</w:trPr>
        <w:tc>
          <w:tcPr>
            <w:tcW w:w="2448" w:type="dxa"/>
            <w:vAlign w:val="center"/>
          </w:tcPr>
          <w:p>
            <w:pPr>
              <w:widowControl/>
              <w:snapToGrid w:val="0"/>
              <w:jc w:val="center"/>
              <w:rPr>
                <w:rFonts w:hAnsi="Arial" w:cs="宋体"/>
                <w:b/>
                <w:kern w:val="0"/>
                <w:szCs w:val="21"/>
              </w:rPr>
            </w:pPr>
            <w:r>
              <w:rPr>
                <w:rFonts w:hint="eastAsia" w:hAnsi="Arial" w:cs="宋体"/>
                <w:b/>
                <w:kern w:val="0"/>
                <w:szCs w:val="21"/>
              </w:rPr>
              <w:t>上课地点</w:t>
            </w:r>
          </w:p>
        </w:tc>
        <w:tc>
          <w:tcPr>
            <w:tcW w:w="6074" w:type="dxa"/>
            <w:vAlign w:val="center"/>
          </w:tcPr>
          <w:p>
            <w:pPr>
              <w:spacing w:line="40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中国社科院国际研究学部（北京市</w:t>
            </w:r>
            <w:r>
              <w:rPr>
                <w:rFonts w:hint="eastAsia"/>
                <w:szCs w:val="21"/>
                <w:lang w:eastAsia="zh-CN"/>
              </w:rPr>
              <w:t>朝阳区望京中环南路甲</w:t>
            </w:r>
            <w:r>
              <w:rPr>
                <w:rFonts w:hint="eastAsia"/>
                <w:szCs w:val="21"/>
              </w:rPr>
              <w:t>1号）、美国新奥尔良（杜兰大学访学期间）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6" w:hRule="atLeast"/>
        </w:trPr>
        <w:tc>
          <w:tcPr>
            <w:tcW w:w="2448" w:type="dxa"/>
            <w:vAlign w:val="center"/>
          </w:tcPr>
          <w:p>
            <w:pPr>
              <w:widowControl/>
              <w:snapToGrid w:val="0"/>
              <w:jc w:val="center"/>
              <w:rPr>
                <w:rFonts w:hAnsi="Arial" w:cs="宋体"/>
                <w:b/>
                <w:kern w:val="0"/>
                <w:szCs w:val="21"/>
              </w:rPr>
            </w:pPr>
            <w:r>
              <w:rPr>
                <w:rFonts w:hint="eastAsia" w:hAnsi="Arial" w:cs="宋体"/>
                <w:b/>
                <w:kern w:val="0"/>
                <w:szCs w:val="21"/>
              </w:rPr>
              <w:t>学分设置</w:t>
            </w:r>
          </w:p>
        </w:tc>
        <w:tc>
          <w:tcPr>
            <w:tcW w:w="6074" w:type="dxa"/>
            <w:vAlign w:val="center"/>
          </w:tcPr>
          <w:p>
            <w:pPr>
              <w:spacing w:line="400" w:lineRule="exact"/>
              <w:rPr>
                <w:szCs w:val="21"/>
              </w:rPr>
            </w:pPr>
            <w:r>
              <w:rPr>
                <w:szCs w:val="21"/>
              </w:rPr>
              <w:t>42</w:t>
            </w:r>
            <w:r>
              <w:rPr>
                <w:rFonts w:hint="eastAsia"/>
                <w:szCs w:val="21"/>
              </w:rPr>
              <w:t>学分，其中必修</w:t>
            </w:r>
            <w:r>
              <w:rPr>
                <w:szCs w:val="21"/>
              </w:rPr>
              <w:t>36</w:t>
            </w:r>
            <w:r>
              <w:rPr>
                <w:rFonts w:hint="eastAsia"/>
                <w:szCs w:val="21"/>
              </w:rPr>
              <w:t>学分，选修</w:t>
            </w:r>
            <w:r>
              <w:rPr>
                <w:szCs w:val="21"/>
              </w:rPr>
              <w:t>6</w:t>
            </w:r>
            <w:r>
              <w:rPr>
                <w:rFonts w:hint="eastAsia"/>
                <w:szCs w:val="21"/>
              </w:rPr>
              <w:t>学分</w:t>
            </w:r>
          </w:p>
        </w:tc>
      </w:tr>
    </w:tbl>
    <w:p>
      <w:pPr>
        <w:widowControl/>
        <w:snapToGrid w:val="0"/>
        <w:spacing w:line="360" w:lineRule="auto"/>
        <w:jc w:val="left"/>
        <w:rPr>
          <w:rFonts w:hAnsi="Arial" w:cs="宋体"/>
          <w:b/>
          <w:color w:val="000080"/>
          <w:kern w:val="0"/>
          <w:sz w:val="24"/>
        </w:rPr>
      </w:pPr>
    </w:p>
    <w:p>
      <w:pPr>
        <w:widowControl/>
        <w:snapToGrid w:val="0"/>
        <w:spacing w:line="360" w:lineRule="auto"/>
        <w:jc w:val="left"/>
        <w:rPr>
          <w:rFonts w:hAnsi="Arial" w:cs="宋体"/>
          <w:b/>
          <w:color w:val="000080"/>
          <w:kern w:val="0"/>
          <w:sz w:val="24"/>
        </w:rPr>
      </w:pPr>
    </w:p>
    <w:p>
      <w:pPr>
        <w:widowControl/>
        <w:snapToGrid w:val="0"/>
        <w:spacing w:line="360" w:lineRule="auto"/>
        <w:ind w:right="-340" w:rightChars="-162"/>
        <w:jc w:val="left"/>
        <w:rPr>
          <w:rFonts w:hAnsi="Arial" w:cs="宋体"/>
          <w:kern w:val="0"/>
          <w:sz w:val="24"/>
        </w:rPr>
      </w:pPr>
      <w:r>
        <w:rPr>
          <w:rFonts w:hint="eastAsia"/>
          <w:b/>
          <w:color w:val="1F497D"/>
          <w:kern w:val="0"/>
          <w:sz w:val="24"/>
        </w:rPr>
        <w:t>四、课程设置</w:t>
      </w:r>
    </w:p>
    <w:tbl>
      <w:tblPr>
        <w:tblStyle w:val="5"/>
        <w:tblpPr w:leftFromText="180" w:rightFromText="180" w:vertAnchor="text" w:horzAnchor="page" w:tblpX="1787" w:tblpY="555"/>
        <w:tblOverlap w:val="never"/>
        <w:tblW w:w="856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4"/>
        <w:gridCol w:w="1677"/>
        <w:gridCol w:w="2113"/>
        <w:gridCol w:w="1935"/>
        <w:gridCol w:w="13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1464" w:type="dxa"/>
            <w:vAlign w:val="center"/>
          </w:tcPr>
          <w:p>
            <w:pPr>
              <w:spacing w:line="400" w:lineRule="exact"/>
              <w:ind w:firstLine="4" w:firstLineChars="2"/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hint="eastAsia" w:ascii="Arial" w:hAnsi="Arial" w:cs="Arial"/>
                <w:b/>
                <w:szCs w:val="21"/>
              </w:rPr>
              <w:t>第一学期（秋季）</w:t>
            </w:r>
          </w:p>
        </w:tc>
        <w:tc>
          <w:tcPr>
            <w:tcW w:w="1677" w:type="dxa"/>
            <w:vAlign w:val="center"/>
          </w:tcPr>
          <w:p>
            <w:pPr>
              <w:spacing w:line="400" w:lineRule="exact"/>
              <w:ind w:firstLine="4" w:firstLineChars="2"/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hint="eastAsia" w:ascii="Arial" w:hAnsi="Arial" w:cs="Arial"/>
                <w:b/>
                <w:szCs w:val="21"/>
              </w:rPr>
              <w:t>第二学期（春季）</w:t>
            </w:r>
          </w:p>
        </w:tc>
        <w:tc>
          <w:tcPr>
            <w:tcW w:w="2113" w:type="dxa"/>
            <w:vAlign w:val="center"/>
          </w:tcPr>
          <w:p>
            <w:pPr>
              <w:spacing w:line="400" w:lineRule="exact"/>
              <w:ind w:firstLine="4" w:firstLineChars="2"/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hint="eastAsia" w:ascii="Arial" w:hAnsi="Arial" w:cs="Arial"/>
                <w:b/>
                <w:szCs w:val="21"/>
              </w:rPr>
              <w:t>第三学期（夏季）</w:t>
            </w:r>
          </w:p>
        </w:tc>
        <w:tc>
          <w:tcPr>
            <w:tcW w:w="1935" w:type="dxa"/>
            <w:vAlign w:val="center"/>
          </w:tcPr>
          <w:p>
            <w:pPr>
              <w:spacing w:line="400" w:lineRule="exact"/>
              <w:ind w:firstLine="4" w:firstLineChars="2"/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hint="eastAsia" w:ascii="Arial" w:hAnsi="Arial" w:cs="Arial"/>
                <w:b/>
                <w:szCs w:val="21"/>
              </w:rPr>
              <w:t>第四学期（秋季）</w:t>
            </w:r>
          </w:p>
        </w:tc>
        <w:tc>
          <w:tcPr>
            <w:tcW w:w="1376" w:type="dxa"/>
            <w:vAlign w:val="center"/>
          </w:tcPr>
          <w:p>
            <w:pPr>
              <w:spacing w:line="400" w:lineRule="exact"/>
              <w:ind w:firstLine="4" w:firstLineChars="2"/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hint="eastAsia" w:ascii="Arial" w:hAnsi="Arial" w:cs="Arial"/>
                <w:b/>
                <w:szCs w:val="21"/>
              </w:rPr>
              <w:t>选修课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2" w:hRule="atLeast"/>
        </w:trPr>
        <w:tc>
          <w:tcPr>
            <w:tcW w:w="1464" w:type="dxa"/>
            <w:vAlign w:val="center"/>
          </w:tcPr>
          <w:p>
            <w:pPr>
              <w:widowControl/>
              <w:spacing w:line="400" w:lineRule="exact"/>
              <w:ind w:leftChars="-5" w:right="-34" w:rightChars="-16" w:hanging="10" w:hangingChars="5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金融机构与市场</w:t>
            </w:r>
            <w:r>
              <w:rPr>
                <w:rFonts w:hint="eastAsia" w:hAnsi="Arial" w:cs="宋体"/>
                <w:b/>
                <w:kern w:val="0"/>
                <w:sz w:val="15"/>
                <w:szCs w:val="15"/>
              </w:rPr>
              <w:t>CH</w:t>
            </w:r>
          </w:p>
          <w:p>
            <w:pPr>
              <w:widowControl/>
              <w:spacing w:line="400" w:lineRule="exact"/>
              <w:ind w:leftChars="-5" w:right="-34" w:rightChars="-16" w:hanging="10" w:hangingChars="5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公司金融</w:t>
            </w:r>
            <w:r>
              <w:rPr>
                <w:rFonts w:hint="eastAsia" w:hAnsi="Arial" w:cs="宋体"/>
                <w:b/>
                <w:kern w:val="0"/>
                <w:sz w:val="15"/>
                <w:szCs w:val="15"/>
              </w:rPr>
              <w:t>CH</w:t>
            </w:r>
          </w:p>
          <w:p>
            <w:pPr>
              <w:widowControl/>
              <w:spacing w:line="400" w:lineRule="exact"/>
              <w:ind w:leftChars="-5" w:right="-34" w:rightChars="-16" w:hanging="10" w:hangingChars="5"/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计量经济学</w:t>
            </w:r>
            <w:r>
              <w:rPr>
                <w:rFonts w:hint="eastAsia" w:hAnsi="Arial" w:cs="宋体"/>
                <w:b/>
                <w:kern w:val="0"/>
                <w:sz w:val="15"/>
                <w:szCs w:val="15"/>
              </w:rPr>
              <w:t>CH</w:t>
            </w:r>
          </w:p>
        </w:tc>
        <w:tc>
          <w:tcPr>
            <w:tcW w:w="1677" w:type="dxa"/>
            <w:vAlign w:val="center"/>
          </w:tcPr>
          <w:p>
            <w:pPr>
              <w:widowControl/>
              <w:spacing w:line="400" w:lineRule="exact"/>
              <w:ind w:left="-42" w:leftChars="-20" w:right="-63" w:rightChars="-3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金融监管与法律</w:t>
            </w:r>
            <w:r>
              <w:rPr>
                <w:rFonts w:hint="eastAsia" w:hAnsi="Arial" w:cs="宋体"/>
                <w:b/>
                <w:kern w:val="0"/>
                <w:sz w:val="15"/>
                <w:szCs w:val="15"/>
              </w:rPr>
              <w:t>CH</w:t>
            </w:r>
          </w:p>
          <w:p>
            <w:pPr>
              <w:widowControl/>
              <w:spacing w:line="400" w:lineRule="exact"/>
              <w:ind w:left="-42" w:leftChars="-20" w:right="-63" w:rightChars="-3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国际金融</w:t>
            </w:r>
            <w:r>
              <w:rPr>
                <w:rFonts w:hint="eastAsia" w:hAnsi="Arial" w:cs="宋体"/>
                <w:b/>
                <w:kern w:val="0"/>
                <w:sz w:val="15"/>
                <w:szCs w:val="15"/>
              </w:rPr>
              <w:t>CH</w:t>
            </w:r>
          </w:p>
          <w:p>
            <w:pPr>
              <w:widowControl/>
              <w:spacing w:line="400" w:lineRule="exact"/>
              <w:ind w:left="-42" w:leftChars="-20" w:right="-63" w:rightChars="-3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In</w:t>
            </w:r>
            <w:r>
              <w:rPr>
                <w:rFonts w:ascii="Arial" w:hAnsi="Arial" w:cs="Arial"/>
                <w:szCs w:val="21"/>
              </w:rPr>
              <w:t>vestment &amp; Asset Pricing</w:t>
            </w:r>
            <w:r>
              <w:rPr>
                <w:rFonts w:hint="eastAsia" w:hAnsi="Arial" w:cs="宋体"/>
                <w:b/>
                <w:kern w:val="0"/>
                <w:sz w:val="15"/>
                <w:szCs w:val="15"/>
              </w:rPr>
              <w:t>EN</w:t>
            </w:r>
          </w:p>
        </w:tc>
        <w:tc>
          <w:tcPr>
            <w:tcW w:w="2113" w:type="dxa"/>
            <w:vAlign w:val="center"/>
          </w:tcPr>
          <w:p>
            <w:pPr>
              <w:widowControl/>
              <w:spacing w:line="400" w:lineRule="exact"/>
              <w:ind w:leftChars="-11" w:hanging="23" w:hangingChars="11"/>
              <w:jc w:val="center"/>
              <w:rPr>
                <w:rFonts w:ascii="Arial" w:hAnsi="Arial" w:cs="Arial"/>
                <w:b/>
                <w:szCs w:val="21"/>
                <w:lang w:val="fr-FR"/>
              </w:rPr>
            </w:pPr>
            <w:r>
              <w:rPr>
                <w:rFonts w:ascii="Arial" w:hAnsi="Arial" w:cs="Arial"/>
                <w:szCs w:val="21"/>
                <w:lang w:val="fr-FR"/>
              </w:rPr>
              <w:t>Valuation</w:t>
            </w:r>
            <w:r>
              <w:rPr>
                <w:rFonts w:hint="eastAsia" w:hAnsi="Arial" w:cs="宋体"/>
                <w:b/>
                <w:kern w:val="0"/>
                <w:sz w:val="15"/>
                <w:szCs w:val="15"/>
                <w:lang w:val="fr-FR"/>
              </w:rPr>
              <w:t>EN</w:t>
            </w:r>
          </w:p>
          <w:p>
            <w:pPr>
              <w:widowControl/>
              <w:spacing w:line="400" w:lineRule="exact"/>
              <w:ind w:leftChars="-11" w:hanging="23" w:hangingChars="11"/>
              <w:jc w:val="center"/>
              <w:rPr>
                <w:rFonts w:ascii="Arial" w:hAnsi="Arial" w:cs="Arial"/>
                <w:b/>
                <w:szCs w:val="21"/>
                <w:lang w:val="fr-FR"/>
              </w:rPr>
            </w:pPr>
            <w:r>
              <w:rPr>
                <w:rFonts w:ascii="Arial" w:hAnsi="Arial" w:cs="Arial"/>
                <w:szCs w:val="21"/>
                <w:lang w:val="fr-FR"/>
              </w:rPr>
              <w:t>Option</w:t>
            </w:r>
            <w:r>
              <w:rPr>
                <w:rFonts w:hint="eastAsia" w:ascii="Arial" w:hAnsi="Arial" w:cs="Arial"/>
                <w:szCs w:val="21"/>
                <w:lang w:val="fr-FR"/>
              </w:rPr>
              <w:t>s</w:t>
            </w:r>
            <w:r>
              <w:rPr>
                <w:rFonts w:ascii="Arial" w:hAnsi="Arial" w:cs="Arial"/>
                <w:szCs w:val="21"/>
                <w:lang w:val="fr-FR"/>
              </w:rPr>
              <w:t>&amp; Other Derivatives</w:t>
            </w:r>
            <w:r>
              <w:rPr>
                <w:rFonts w:hint="eastAsia" w:hAnsi="Arial" w:cs="宋体"/>
                <w:b/>
                <w:kern w:val="0"/>
                <w:sz w:val="15"/>
                <w:szCs w:val="15"/>
                <w:lang w:val="fr-FR"/>
              </w:rPr>
              <w:t>EN</w:t>
            </w:r>
          </w:p>
          <w:p>
            <w:pPr>
              <w:widowControl/>
              <w:spacing w:line="400" w:lineRule="exact"/>
              <w:ind w:left="-95" w:leftChars="-51" w:right="-107" w:rightChars="-51" w:hanging="12" w:hangingChars="6"/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szCs w:val="21"/>
              </w:rPr>
              <w:t>Fixed Income Analysis</w:t>
            </w:r>
            <w:r>
              <w:rPr>
                <w:rFonts w:hint="eastAsia" w:hAnsi="Arial" w:cs="宋体"/>
                <w:b/>
                <w:kern w:val="0"/>
                <w:sz w:val="15"/>
                <w:szCs w:val="15"/>
              </w:rPr>
              <w:t>EN</w:t>
            </w:r>
          </w:p>
        </w:tc>
        <w:tc>
          <w:tcPr>
            <w:tcW w:w="1935" w:type="dxa"/>
            <w:vAlign w:val="center"/>
          </w:tcPr>
          <w:p>
            <w:pPr>
              <w:widowControl/>
              <w:spacing w:line="400" w:lineRule="exact"/>
              <w:ind w:left="1" w:leftChars="-15" w:hanging="32" w:hangingChars="15"/>
              <w:jc w:val="center"/>
              <w:rPr>
                <w:rFonts w:ascii="Arial" w:hAnsi="Arial" w:cs="Arial"/>
                <w:szCs w:val="21"/>
                <w:lang w:val="fr-FR"/>
              </w:rPr>
            </w:pPr>
            <w:r>
              <w:rPr>
                <w:rFonts w:hint="eastAsia" w:hAnsi="Arial" w:cs="宋体"/>
                <w:b/>
                <w:kern w:val="0"/>
                <w:szCs w:val="21"/>
                <w:lang w:val="fr-FR"/>
              </w:rPr>
              <w:t>*</w:t>
            </w:r>
            <w:r>
              <w:rPr>
                <w:rFonts w:ascii="Arial" w:hAnsi="Arial" w:cs="Arial"/>
                <w:szCs w:val="21"/>
                <w:lang w:val="fr-FR"/>
              </w:rPr>
              <w:t>Risk Management</w:t>
            </w:r>
            <w:r>
              <w:rPr>
                <w:rFonts w:hint="eastAsia" w:hAnsi="Arial" w:cs="宋体"/>
                <w:b/>
                <w:kern w:val="0"/>
                <w:sz w:val="15"/>
                <w:szCs w:val="15"/>
                <w:lang w:val="fr-FR"/>
              </w:rPr>
              <w:t>EN</w:t>
            </w:r>
          </w:p>
          <w:p>
            <w:pPr>
              <w:widowControl/>
              <w:spacing w:line="400" w:lineRule="exact"/>
              <w:ind w:leftChars="-37" w:right="-80" w:rightChars="-38" w:hanging="78" w:hangingChars="37"/>
              <w:jc w:val="center"/>
              <w:rPr>
                <w:rFonts w:ascii="Arial" w:hAnsi="Arial" w:cs="Arial"/>
                <w:szCs w:val="21"/>
                <w:lang w:val="fr-FR"/>
              </w:rPr>
            </w:pPr>
            <w:r>
              <w:rPr>
                <w:rFonts w:hint="eastAsia" w:hAnsi="Arial" w:cs="宋体"/>
                <w:b/>
                <w:kern w:val="0"/>
                <w:szCs w:val="21"/>
                <w:lang w:val="fr-FR"/>
              </w:rPr>
              <w:t>*</w:t>
            </w:r>
            <w:r>
              <w:rPr>
                <w:rFonts w:ascii="Arial" w:hAnsi="Arial" w:cs="Arial"/>
                <w:szCs w:val="21"/>
                <w:lang w:val="fr-FR"/>
              </w:rPr>
              <w:t>Portfolio</w:t>
            </w:r>
          </w:p>
          <w:p>
            <w:pPr>
              <w:widowControl/>
              <w:spacing w:line="400" w:lineRule="exact"/>
              <w:ind w:leftChars="-37" w:right="-80" w:rightChars="-38" w:hanging="77" w:hangingChars="37"/>
              <w:jc w:val="center"/>
              <w:rPr>
                <w:rFonts w:ascii="Arial" w:hAnsi="Arial" w:cs="Arial"/>
                <w:szCs w:val="21"/>
                <w:lang w:val="fr-FR"/>
              </w:rPr>
            </w:pPr>
            <w:r>
              <w:rPr>
                <w:rFonts w:ascii="Arial" w:hAnsi="Arial" w:cs="Arial"/>
                <w:szCs w:val="21"/>
                <w:lang w:val="fr-FR"/>
              </w:rPr>
              <w:t>Management</w:t>
            </w:r>
            <w:r>
              <w:rPr>
                <w:rFonts w:hint="eastAsia" w:hAnsi="Arial" w:cs="宋体"/>
                <w:b/>
                <w:kern w:val="0"/>
                <w:sz w:val="15"/>
                <w:szCs w:val="15"/>
                <w:lang w:val="fr-FR"/>
              </w:rPr>
              <w:t xml:space="preserve"> EN</w:t>
            </w:r>
          </w:p>
          <w:p>
            <w:pPr>
              <w:widowControl/>
              <w:spacing w:line="400" w:lineRule="exact"/>
              <w:ind w:leftChars="-15" w:hanging="31" w:hangingChars="15"/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财务管理案例讨论</w:t>
            </w:r>
            <w:r>
              <w:rPr>
                <w:rFonts w:hint="eastAsia" w:hAnsi="Arial" w:cs="宋体"/>
                <w:b/>
                <w:kern w:val="0"/>
                <w:sz w:val="15"/>
                <w:szCs w:val="15"/>
              </w:rPr>
              <w:t>CH</w:t>
            </w:r>
          </w:p>
        </w:tc>
        <w:tc>
          <w:tcPr>
            <w:tcW w:w="1376" w:type="dxa"/>
            <w:vAlign w:val="center"/>
          </w:tcPr>
          <w:p>
            <w:pPr>
              <w:pStyle w:val="13"/>
              <w:widowControl/>
              <w:spacing w:line="400" w:lineRule="exact"/>
              <w:ind w:leftChars="-22" w:right="-59" w:rightChars="-28" w:hanging="46" w:hangingChars="22"/>
              <w:jc w:val="center"/>
              <w:rPr>
                <w:kern w:val="0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中国宏观经济形势</w:t>
            </w:r>
            <w:r>
              <w:rPr>
                <w:rFonts w:hint="eastAsia" w:hAnsi="Arial" w:cs="宋体"/>
                <w:b/>
                <w:kern w:val="0"/>
                <w:sz w:val="15"/>
                <w:szCs w:val="15"/>
              </w:rPr>
              <w:t>CH</w:t>
            </w:r>
          </w:p>
          <w:p>
            <w:pPr>
              <w:pStyle w:val="13"/>
              <w:widowControl/>
              <w:spacing w:line="400" w:lineRule="exact"/>
              <w:ind w:leftChars="-22" w:right="-59" w:rightChars="-28" w:hanging="46" w:hangingChars="22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私募股权</w:t>
            </w:r>
            <w:r>
              <w:rPr>
                <w:rFonts w:hint="eastAsia" w:hAnsi="Arial" w:cs="宋体"/>
                <w:b/>
                <w:kern w:val="0"/>
                <w:sz w:val="15"/>
                <w:szCs w:val="15"/>
              </w:rPr>
              <w:t>CH</w:t>
            </w:r>
          </w:p>
          <w:p>
            <w:pPr>
              <w:widowControl/>
              <w:spacing w:line="400" w:lineRule="exact"/>
              <w:ind w:leftChars="-22" w:right="-59" w:rightChars="-28" w:hanging="46" w:hangingChars="22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并购与资产重组</w:t>
            </w:r>
            <w:r>
              <w:rPr>
                <w:rFonts w:hint="eastAsia" w:hAnsi="Arial" w:cs="宋体"/>
                <w:b/>
                <w:kern w:val="0"/>
                <w:sz w:val="15"/>
                <w:szCs w:val="15"/>
              </w:rPr>
              <w:t>CH</w:t>
            </w:r>
          </w:p>
        </w:tc>
      </w:tr>
    </w:tbl>
    <w:p>
      <w:pPr>
        <w:widowControl/>
        <w:snapToGrid w:val="0"/>
        <w:spacing w:line="360" w:lineRule="auto"/>
        <w:ind w:right="-341"/>
        <w:jc w:val="both"/>
        <w:rPr>
          <w:rFonts w:hAnsi="Arial" w:cs="宋体"/>
          <w:b/>
          <w:color w:val="000000"/>
          <w:kern w:val="0"/>
          <w:szCs w:val="21"/>
        </w:rPr>
      </w:pPr>
    </w:p>
    <w:p>
      <w:pPr>
        <w:widowControl/>
        <w:snapToGrid w:val="0"/>
        <w:spacing w:line="360" w:lineRule="auto"/>
        <w:ind w:left="-709" w:right="-341"/>
        <w:jc w:val="left"/>
        <w:rPr>
          <w:rFonts w:hint="eastAsia" w:hAnsi="Arial" w:cs="宋体"/>
          <w:b/>
          <w:color w:val="000000"/>
          <w:kern w:val="0"/>
          <w:szCs w:val="21"/>
        </w:rPr>
      </w:pPr>
    </w:p>
    <w:p>
      <w:pPr>
        <w:numPr>
          <w:ilvl w:val="0"/>
          <w:numId w:val="0"/>
        </w:numPr>
        <w:spacing w:line="360" w:lineRule="auto"/>
        <w:rPr>
          <w:rFonts w:hint="eastAsia" w:cs="宋体"/>
          <w:kern w:val="0"/>
          <w:sz w:val="24"/>
        </w:rPr>
      </w:pPr>
      <w:r>
        <w:rPr>
          <w:rFonts w:hint="eastAsia" w:cs="宋体"/>
          <w:kern w:val="0"/>
          <w:sz w:val="24"/>
        </w:rPr>
        <w:t>注：标*课程：学生需赴杜兰大学进行为期两周的学习。标 CH课程：社科院研究生院教授，全中文。 标 EN课程：杜兰大学商学院教授，全英文。   如有变动，请以项目网站最新通知为准。</w:t>
      </w:r>
    </w:p>
    <w:p>
      <w:pPr>
        <w:widowControl/>
        <w:snapToGrid w:val="0"/>
        <w:spacing w:line="360" w:lineRule="auto"/>
        <w:jc w:val="left"/>
        <w:rPr>
          <w:b/>
          <w:color w:val="1F497D"/>
          <w:kern w:val="0"/>
          <w:sz w:val="24"/>
        </w:rPr>
      </w:pPr>
    </w:p>
    <w:p>
      <w:pPr>
        <w:widowControl/>
        <w:snapToGrid w:val="0"/>
        <w:spacing w:line="360" w:lineRule="auto"/>
        <w:jc w:val="left"/>
        <w:rPr>
          <w:b/>
          <w:color w:val="1F497D"/>
          <w:kern w:val="0"/>
          <w:sz w:val="24"/>
        </w:rPr>
      </w:pPr>
      <w:r>
        <w:rPr>
          <w:rFonts w:hint="eastAsia"/>
          <w:b/>
          <w:color w:val="1F497D"/>
          <w:kern w:val="0"/>
          <w:sz w:val="24"/>
        </w:rPr>
        <w:t>五、申请入学</w:t>
      </w:r>
    </w:p>
    <w:p>
      <w:pPr>
        <w:numPr>
          <w:ilvl w:val="0"/>
          <w:numId w:val="5"/>
        </w:numPr>
        <w:spacing w:line="360" w:lineRule="auto"/>
        <w:rPr>
          <w:sz w:val="24"/>
        </w:rPr>
      </w:pPr>
      <w:r>
        <w:rPr>
          <w:rFonts w:hint="eastAsia"/>
          <w:sz w:val="24"/>
        </w:rPr>
        <w:t>申请条件：</w:t>
      </w:r>
    </w:p>
    <w:p>
      <w:pPr>
        <w:numPr>
          <w:ilvl w:val="0"/>
          <w:numId w:val="6"/>
        </w:numPr>
        <w:spacing w:line="360" w:lineRule="auto"/>
        <w:ind w:left="360" w:firstLine="115" w:firstLineChars="48"/>
        <w:rPr>
          <w:sz w:val="24"/>
        </w:rPr>
      </w:pPr>
      <w:r>
        <w:rPr>
          <w:rFonts w:hint="eastAsia"/>
          <w:sz w:val="24"/>
        </w:rPr>
        <w:t>国民教育系列本科学历；</w:t>
      </w:r>
    </w:p>
    <w:p>
      <w:pPr>
        <w:numPr>
          <w:ilvl w:val="0"/>
          <w:numId w:val="6"/>
        </w:numPr>
        <w:spacing w:line="360" w:lineRule="auto"/>
        <w:ind w:left="1" w:firstLine="472" w:firstLineChars="197"/>
        <w:rPr>
          <w:sz w:val="24"/>
        </w:rPr>
      </w:pPr>
      <w:r>
        <w:rPr>
          <w:rFonts w:hint="eastAsia"/>
          <w:sz w:val="24"/>
        </w:rPr>
        <w:t>1年以上工作经验（在职）；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3</w:t>
      </w:r>
      <w:r>
        <w:rPr>
          <w:rFonts w:hint="eastAsia"/>
          <w:sz w:val="24"/>
        </w:rPr>
        <w:t>、通过入学测试（含英语）。</w:t>
      </w:r>
    </w:p>
    <w:p>
      <w:pPr>
        <w:pStyle w:val="13"/>
        <w:numPr>
          <w:ilvl w:val="0"/>
          <w:numId w:val="5"/>
        </w:numPr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t>申请流程</w:t>
      </w:r>
    </w:p>
    <w:p>
      <w:pPr>
        <w:pStyle w:val="13"/>
        <w:spacing w:line="360" w:lineRule="auto"/>
        <w:ind w:left="420" w:firstLine="0" w:firstLineChars="0"/>
        <w:rPr>
          <w:sz w:val="24"/>
        </w:rPr>
      </w:pPr>
      <w:r>
        <w:rPr>
          <w:rFonts w:hint="eastAsia"/>
          <w:sz w:val="24"/>
        </w:rPr>
        <w:t>提交申请材料→参加面试（含英语测试）</w:t>
      </w:r>
    </w:p>
    <w:p>
      <w:pPr>
        <w:pStyle w:val="13"/>
        <w:numPr>
          <w:ilvl w:val="0"/>
          <w:numId w:val="7"/>
        </w:numPr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t>报名表；</w:t>
      </w:r>
    </w:p>
    <w:p>
      <w:pPr>
        <w:pStyle w:val="13"/>
        <w:numPr>
          <w:ilvl w:val="0"/>
          <w:numId w:val="7"/>
        </w:numPr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t>两封英文推荐信；</w:t>
      </w:r>
    </w:p>
    <w:p>
      <w:pPr>
        <w:pStyle w:val="13"/>
        <w:numPr>
          <w:ilvl w:val="0"/>
          <w:numId w:val="7"/>
        </w:numPr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t>中英文简历一份；</w:t>
      </w:r>
    </w:p>
    <w:p>
      <w:pPr>
        <w:pStyle w:val="13"/>
        <w:numPr>
          <w:ilvl w:val="0"/>
          <w:numId w:val="7"/>
        </w:numPr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t>身份证复印件一份；</w:t>
      </w:r>
    </w:p>
    <w:p>
      <w:pPr>
        <w:pStyle w:val="13"/>
        <w:numPr>
          <w:ilvl w:val="0"/>
          <w:numId w:val="7"/>
        </w:numPr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t>一份大学成绩单原件</w:t>
      </w:r>
      <w:r>
        <w:rPr>
          <w:sz w:val="24"/>
        </w:rPr>
        <w:t>(</w:t>
      </w:r>
      <w:r>
        <w:rPr>
          <w:rFonts w:hint="eastAsia"/>
          <w:sz w:val="24"/>
        </w:rPr>
        <w:t>本科以上申请者需提供本科及以上学位成绩单；须加盖学校公章并密封</w:t>
      </w:r>
      <w:r>
        <w:rPr>
          <w:sz w:val="24"/>
        </w:rPr>
        <w:t>)</w:t>
      </w:r>
      <w:r>
        <w:rPr>
          <w:rFonts w:hint="eastAsia"/>
          <w:sz w:val="24"/>
        </w:rPr>
        <w:t>；</w:t>
      </w:r>
    </w:p>
    <w:p>
      <w:pPr>
        <w:pStyle w:val="13"/>
        <w:numPr>
          <w:ilvl w:val="0"/>
          <w:numId w:val="7"/>
        </w:numPr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t>可证明英语语言能力的证书</w:t>
      </w:r>
      <w:r>
        <w:rPr>
          <w:rFonts w:hint="eastAsia" w:ascii="宋体" w:hAnsi="宋体"/>
          <w:sz w:val="24"/>
        </w:rPr>
        <w:t>【</w:t>
      </w:r>
      <w:r>
        <w:rPr>
          <w:rFonts w:hint="eastAsia"/>
          <w:sz w:val="24"/>
        </w:rPr>
        <w:t>大学英语四级及以上的证书复印件或</w:t>
      </w:r>
      <w:r>
        <w:rPr>
          <w:sz w:val="24"/>
        </w:rPr>
        <w:t>TOEFL/IELTS/GMAT/GRE</w:t>
      </w:r>
      <w:r>
        <w:rPr>
          <w:rFonts w:hint="eastAsia"/>
          <w:sz w:val="24"/>
        </w:rPr>
        <w:t>等国际考试成绩复印件</w:t>
      </w:r>
      <w:r>
        <w:rPr>
          <w:rFonts w:hint="eastAsia" w:ascii="宋体" w:hAnsi="宋体"/>
          <w:sz w:val="24"/>
        </w:rPr>
        <w:t>】</w:t>
      </w:r>
      <w:r>
        <w:rPr>
          <w:rFonts w:hint="eastAsia"/>
          <w:sz w:val="24"/>
        </w:rPr>
        <w:t>（如有上述成绩，可提供）；</w:t>
      </w:r>
    </w:p>
    <w:p>
      <w:pPr>
        <w:pStyle w:val="13"/>
        <w:numPr>
          <w:ilvl w:val="0"/>
          <w:numId w:val="7"/>
        </w:numPr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t>大学本科毕业证书、学士学位证书复印件各两份。具有硕士及以上学位，应同时提供相关材料的复印件。</w:t>
      </w:r>
    </w:p>
    <w:p>
      <w:pPr>
        <w:pStyle w:val="13"/>
        <w:numPr>
          <w:ilvl w:val="0"/>
          <w:numId w:val="5"/>
        </w:numPr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t>申请及入学测试费用：人民币2</w:t>
      </w:r>
      <w:r>
        <w:rPr>
          <w:sz w:val="24"/>
        </w:rPr>
        <w:t>000</w:t>
      </w:r>
      <w:r>
        <w:rPr>
          <w:rFonts w:hint="eastAsia"/>
          <w:sz w:val="24"/>
        </w:rPr>
        <w:t>元</w:t>
      </w:r>
      <w:r>
        <w:rPr>
          <w:sz w:val="24"/>
        </w:rPr>
        <w:t>/</w:t>
      </w:r>
      <w:r>
        <w:rPr>
          <w:rFonts w:hint="eastAsia"/>
          <w:sz w:val="24"/>
        </w:rPr>
        <w:t>人</w:t>
      </w:r>
    </w:p>
    <w:p>
      <w:pPr>
        <w:pStyle w:val="13"/>
        <w:numPr>
          <w:ilvl w:val="0"/>
          <w:numId w:val="5"/>
        </w:numPr>
        <w:spacing w:line="400" w:lineRule="exact"/>
        <w:ind w:firstLineChars="0"/>
        <w:rPr>
          <w:sz w:val="24"/>
        </w:rPr>
      </w:pPr>
      <w:r>
        <w:rPr>
          <w:rFonts w:hint="eastAsia"/>
          <w:sz w:val="24"/>
        </w:rPr>
        <w:t>项目时间表</w:t>
      </w:r>
    </w:p>
    <w:tbl>
      <w:tblPr>
        <w:tblStyle w:val="5"/>
        <w:tblW w:w="7876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5"/>
        <w:gridCol w:w="511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65" w:type="dxa"/>
            <w:vAlign w:val="center"/>
          </w:tcPr>
          <w:p>
            <w:pPr>
              <w:spacing w:line="400" w:lineRule="exact"/>
              <w:ind w:firstLine="2" w:firstLineChars="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入学申请</w:t>
            </w:r>
          </w:p>
        </w:tc>
        <w:tc>
          <w:tcPr>
            <w:tcW w:w="5111" w:type="dxa"/>
            <w:vAlign w:val="center"/>
          </w:tcPr>
          <w:p>
            <w:pPr>
              <w:spacing w:line="40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1-8月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65" w:type="dxa"/>
            <w:vAlign w:val="center"/>
          </w:tcPr>
          <w:p>
            <w:pPr>
              <w:spacing w:line="400" w:lineRule="exact"/>
              <w:ind w:firstLine="2" w:firstLineChars="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开学日期</w:t>
            </w:r>
          </w:p>
        </w:tc>
        <w:tc>
          <w:tcPr>
            <w:tcW w:w="5111" w:type="dxa"/>
            <w:vAlign w:val="center"/>
          </w:tcPr>
          <w:p>
            <w:pPr>
              <w:spacing w:line="40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9月</w:t>
            </w:r>
          </w:p>
        </w:tc>
      </w:tr>
    </w:tbl>
    <w:p>
      <w:pPr>
        <w:spacing w:line="360" w:lineRule="auto"/>
        <w:rPr>
          <w:rFonts w:hint="eastAsia"/>
          <w:sz w:val="24"/>
        </w:rPr>
      </w:pPr>
    </w:p>
    <w:p>
      <w:pPr>
        <w:widowControl/>
        <w:snapToGrid w:val="0"/>
        <w:spacing w:line="360" w:lineRule="auto"/>
        <w:jc w:val="left"/>
        <w:rPr>
          <w:b/>
          <w:color w:val="1F497D"/>
          <w:kern w:val="0"/>
          <w:sz w:val="24"/>
        </w:rPr>
      </w:pPr>
      <w:r>
        <w:rPr>
          <w:rFonts w:hint="eastAsia"/>
          <w:b/>
          <w:color w:val="1F497D"/>
          <w:kern w:val="0"/>
          <w:sz w:val="24"/>
          <w:lang w:eastAsia="zh-CN"/>
        </w:rPr>
        <w:t>六</w:t>
      </w:r>
      <w:r>
        <w:rPr>
          <w:rFonts w:hint="eastAsia"/>
          <w:b/>
          <w:color w:val="1F497D"/>
          <w:kern w:val="0"/>
          <w:sz w:val="24"/>
        </w:rPr>
        <w:t>、学费</w:t>
      </w:r>
      <w:bookmarkStart w:id="4" w:name="OLE_LINK21"/>
      <w:bookmarkStart w:id="5" w:name="OLE_LINK22"/>
    </w:p>
    <w:p>
      <w:pPr>
        <w:spacing w:line="360" w:lineRule="auto"/>
        <w:rPr>
          <w:sz w:val="24"/>
        </w:rPr>
      </w:pPr>
      <w:r>
        <w:rPr>
          <w:rFonts w:hint="eastAsia" w:ascii="宋体" w:hAnsi="宋体" w:cs="宋体"/>
          <w:kern w:val="0"/>
          <w:sz w:val="24"/>
        </w:rPr>
        <w:t>学费：人民币32</w:t>
      </w:r>
      <w:r>
        <w:rPr>
          <w:rFonts w:ascii="宋体" w:hAnsi="宋体" w:cs="宋体"/>
          <w:kern w:val="0"/>
          <w:sz w:val="24"/>
        </w:rPr>
        <w:t>8</w:t>
      </w:r>
      <w:r>
        <w:rPr>
          <w:rFonts w:hint="eastAsia" w:ascii="宋体" w:hAnsi="宋体" w:cs="宋体"/>
          <w:kern w:val="0"/>
          <w:sz w:val="24"/>
        </w:rPr>
        <w:t>,</w:t>
      </w:r>
      <w:r>
        <w:rPr>
          <w:rFonts w:ascii="宋体" w:hAnsi="宋体" w:cs="宋体"/>
          <w:kern w:val="0"/>
          <w:sz w:val="24"/>
        </w:rPr>
        <w:t>000</w:t>
      </w:r>
      <w:r>
        <w:rPr>
          <w:rFonts w:hint="eastAsia" w:ascii="宋体" w:hAnsi="宋体" w:cs="宋体"/>
          <w:kern w:val="0"/>
          <w:sz w:val="24"/>
        </w:rPr>
        <w:t>元</w:t>
      </w:r>
      <w:r>
        <w:rPr>
          <w:rFonts w:ascii="宋体" w:hAnsi="宋体" w:cs="宋体"/>
          <w:kern w:val="0"/>
          <w:sz w:val="24"/>
        </w:rPr>
        <w:t>/</w:t>
      </w:r>
      <w:r>
        <w:rPr>
          <w:rFonts w:hint="eastAsia" w:ascii="宋体" w:hAnsi="宋体" w:cs="宋体"/>
          <w:kern w:val="0"/>
          <w:sz w:val="24"/>
        </w:rPr>
        <w:t>人（包含课程的教材费、证书制作费等）。</w:t>
      </w:r>
    </w:p>
    <w:p>
      <w:pPr>
        <w:widowControl/>
        <w:snapToGrid w:val="0"/>
        <w:spacing w:before="75" w:after="75" w:line="420" w:lineRule="exact"/>
        <w:ind w:right="75"/>
        <w:jc w:val="left"/>
        <w:rPr>
          <w:rFonts w:hint="eastAsia" w:ascii="宋体" w:eastAsia="宋体" w:cs="宋体"/>
          <w:kern w:val="0"/>
          <w:sz w:val="24"/>
          <w:lang w:eastAsia="zh-CN"/>
        </w:rPr>
      </w:pPr>
      <w:r>
        <w:rPr>
          <w:rFonts w:hint="eastAsia" w:ascii="宋体" w:hAnsi="宋体" w:cs="Wingdings"/>
          <w:kern w:val="0"/>
          <w:sz w:val="24"/>
        </w:rPr>
        <w:t>学费按学年交付，分两次交清，第一学年</w:t>
      </w:r>
      <w:r>
        <w:rPr>
          <w:rFonts w:ascii="宋体" w:hAnsi="宋体" w:cs="Wingdings"/>
          <w:kern w:val="0"/>
          <w:sz w:val="24"/>
        </w:rPr>
        <w:t>1</w:t>
      </w:r>
      <w:r>
        <w:rPr>
          <w:rFonts w:hint="eastAsia" w:ascii="宋体" w:hAnsi="宋体" w:cs="Wingdings"/>
          <w:kern w:val="0"/>
          <w:sz w:val="24"/>
        </w:rPr>
        <w:t>64,</w:t>
      </w:r>
      <w:r>
        <w:rPr>
          <w:rFonts w:ascii="宋体" w:cs="Wingdings"/>
          <w:kern w:val="0"/>
          <w:sz w:val="24"/>
        </w:rPr>
        <w:t>000</w:t>
      </w:r>
      <w:r>
        <w:rPr>
          <w:rFonts w:hint="eastAsia" w:ascii="宋体" w:hAnsi="宋体" w:cs="Wingdings"/>
          <w:kern w:val="0"/>
          <w:sz w:val="24"/>
        </w:rPr>
        <w:t>元，第二学年（第三学期）</w:t>
      </w:r>
      <w:r>
        <w:rPr>
          <w:rFonts w:ascii="宋体" w:hAnsi="宋体" w:cs="Wingdings"/>
          <w:kern w:val="0"/>
          <w:sz w:val="24"/>
        </w:rPr>
        <w:t>1</w:t>
      </w:r>
      <w:r>
        <w:rPr>
          <w:rFonts w:hint="eastAsia" w:ascii="宋体" w:hAnsi="宋体" w:cs="Wingdings"/>
          <w:kern w:val="0"/>
          <w:sz w:val="24"/>
        </w:rPr>
        <w:t>64,0</w:t>
      </w:r>
      <w:r>
        <w:rPr>
          <w:rFonts w:ascii="宋体" w:hAnsi="宋体" w:cs="Wingdings"/>
          <w:kern w:val="0"/>
          <w:sz w:val="24"/>
        </w:rPr>
        <w:t>00</w:t>
      </w:r>
      <w:r>
        <w:rPr>
          <w:rFonts w:hint="eastAsia" w:ascii="宋体" w:hAnsi="宋体" w:cs="Wingdings"/>
          <w:kern w:val="0"/>
          <w:sz w:val="24"/>
        </w:rPr>
        <w:t>元</w:t>
      </w:r>
      <w:bookmarkEnd w:id="4"/>
      <w:bookmarkEnd w:id="5"/>
      <w:r>
        <w:rPr>
          <w:rFonts w:hint="eastAsia" w:ascii="宋体" w:hAnsi="宋体" w:cs="Wingdings"/>
          <w:kern w:val="0"/>
          <w:sz w:val="24"/>
          <w:lang w:eastAsia="zh-CN"/>
        </w:rPr>
        <w:t>。</w:t>
      </w:r>
    </w:p>
    <w:p>
      <w:pPr>
        <w:spacing w:line="360" w:lineRule="auto"/>
        <w:rPr>
          <w:sz w:val="24"/>
        </w:rPr>
      </w:pPr>
    </w:p>
    <w:p>
      <w:pPr>
        <w:widowControl/>
        <w:snapToGrid w:val="0"/>
        <w:spacing w:line="360" w:lineRule="auto"/>
        <w:jc w:val="left"/>
        <w:rPr>
          <w:b/>
          <w:color w:val="1F497D"/>
          <w:kern w:val="0"/>
          <w:sz w:val="24"/>
        </w:rPr>
      </w:pPr>
      <w:r>
        <w:rPr>
          <w:rFonts w:hint="eastAsia"/>
          <w:b/>
          <w:color w:val="1F497D"/>
          <w:kern w:val="0"/>
          <w:sz w:val="24"/>
          <w:lang w:eastAsia="zh-CN"/>
        </w:rPr>
        <w:t>七</w:t>
      </w:r>
      <w:r>
        <w:rPr>
          <w:rFonts w:hint="eastAsia"/>
          <w:b/>
          <w:color w:val="1F497D"/>
          <w:kern w:val="0"/>
          <w:sz w:val="24"/>
        </w:rPr>
        <w:t>、学位证书</w:t>
      </w:r>
    </w:p>
    <w:p>
      <w:pPr>
        <w:spacing w:line="360" w:lineRule="auto"/>
        <w:jc w:val="center"/>
        <w:rPr>
          <w:sz w:val="24"/>
        </w:rPr>
      </w:pPr>
      <w:r>
        <w:rPr>
          <w:sz w:val="24"/>
        </w:rPr>
        <w:pict>
          <v:shape id="_x0000_i1025" o:spt="75" alt="杜兰项目批准书" type="#_x0000_t75" style="height:222.7pt;width:314.8pt;" filled="f" o:preferrelative="t" stroked="f" coordsize="21600,21600">
            <v:path/>
            <v:fill on="f" focussize="0,0"/>
            <v:stroke on="f" joinstyle="miter"/>
            <v:imagedata r:id="rId5" o:title="杜兰项目批准书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center"/>
        <w:rPr>
          <w:sz w:val="24"/>
        </w:rPr>
      </w:pPr>
      <w:r>
        <w:rPr>
          <w:rFonts w:hint="eastAsia"/>
          <w:sz w:val="24"/>
        </w:rPr>
        <w:t>（教育部中外合作办学项目批准书）</w:t>
      </w:r>
    </w:p>
    <w:p>
      <w:pPr>
        <w:spacing w:line="360" w:lineRule="auto"/>
        <w:jc w:val="center"/>
        <w:rPr>
          <w:sz w:val="24"/>
        </w:rPr>
      </w:pPr>
    </w:p>
    <w:p>
      <w:pPr>
        <w:spacing w:line="360" w:lineRule="auto"/>
        <w:jc w:val="center"/>
        <w:rPr>
          <w:sz w:val="24"/>
        </w:rPr>
      </w:pPr>
      <w:r>
        <w:rPr>
          <w:sz w:val="24"/>
        </w:rPr>
        <w:pict>
          <v:shape id="_x0000_i1026" o:spt="75" alt="学位证" type="#_x0000_t75" style="height:262.9pt;width:318.15pt;" filled="f" o:preferrelative="t" stroked="f" coordsize="21600,21600">
            <v:path/>
            <v:fill on="f" focussize="0,0"/>
            <v:stroke on="f" joinstyle="miter"/>
            <v:imagedata r:id="rId6" o:title="学位证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center"/>
        <w:rPr>
          <w:sz w:val="24"/>
        </w:rPr>
      </w:pPr>
      <w:r>
        <w:rPr>
          <w:rFonts w:hint="eastAsia"/>
          <w:sz w:val="24"/>
        </w:rPr>
        <w:t>美国杜兰大学金融硕士（</w:t>
      </w:r>
      <w:r>
        <w:rPr>
          <w:sz w:val="24"/>
        </w:rPr>
        <w:t>Master of Finance</w:t>
      </w:r>
      <w:r>
        <w:rPr>
          <w:rFonts w:hint="eastAsia"/>
          <w:sz w:val="24"/>
        </w:rPr>
        <w:t>）学位证书</w:t>
      </w:r>
    </w:p>
    <w:p>
      <w:pPr>
        <w:spacing w:line="360" w:lineRule="auto"/>
        <w:jc w:val="center"/>
        <w:rPr>
          <w:sz w:val="24"/>
        </w:rPr>
      </w:pPr>
      <w:r>
        <w:rPr>
          <w:sz w:val="24"/>
        </w:rPr>
        <w:drawing>
          <wp:inline distT="0" distB="0" distL="114300" distR="114300">
            <wp:extent cx="2806065" cy="3930015"/>
            <wp:effectExtent l="0" t="0" r="13335" b="13335"/>
            <wp:docPr id="1" name="图片 5" descr="学历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学历认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3930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24"/>
        </w:rPr>
      </w:pPr>
      <w:r>
        <w:rPr>
          <w:rFonts w:hint="eastAsia"/>
          <w:sz w:val="24"/>
        </w:rPr>
        <w:t>（教育部留学服务中心学历学位认证证书）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left"/>
    </w:pPr>
    <w:r>
      <w:pict>
        <v:shape id="_x0000_i1027" o:spt="75" alt="logo2" type="#_x0000_t75" style="height:60.3pt;width:178.35pt;" filled="f" o:preferrelative="t" stroked="f" coordsize="21600,21600">
          <v:path/>
          <v:fill on="f" focussize="0,0"/>
          <v:stroke on="f" joinstyle="miter"/>
          <v:imagedata r:id="rId1" o:title="logo2"/>
          <o:lock v:ext="edit" aspectratio="t"/>
          <w10:wrap type="none"/>
          <w10:anchorlock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54DAD"/>
    <w:multiLevelType w:val="multilevel"/>
    <w:tmpl w:val="0FA54DAD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1">
    <w:nsid w:val="12F87711"/>
    <w:multiLevelType w:val="multilevel"/>
    <w:tmpl w:val="12F87711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2">
    <w:nsid w:val="1E945ABF"/>
    <w:multiLevelType w:val="multilevel"/>
    <w:tmpl w:val="1E945ABF"/>
    <w:lvl w:ilvl="0" w:tentative="0">
      <w:start w:val="1"/>
      <w:numFmt w:val="bullet"/>
      <w:lvlText w:val="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4200"/>
        </w:tabs>
        <w:ind w:left="4200" w:hanging="420"/>
      </w:pPr>
      <w:rPr>
        <w:rFonts w:hint="default" w:ascii="Wingdings" w:hAnsi="Wingdings"/>
      </w:rPr>
    </w:lvl>
  </w:abstractNum>
  <w:abstractNum w:abstractNumId="3">
    <w:nsid w:val="2D9B47B3"/>
    <w:multiLevelType w:val="multilevel"/>
    <w:tmpl w:val="2D9B47B3"/>
    <w:lvl w:ilvl="0" w:tentative="0">
      <w:start w:val="1"/>
      <w:numFmt w:val="bullet"/>
      <w:lvlText w:val=""/>
      <w:lvlJc w:val="left"/>
      <w:pPr>
        <w:ind w:left="7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40" w:hanging="420"/>
      </w:pPr>
      <w:rPr>
        <w:rFonts w:hint="default" w:ascii="Wingdings" w:hAnsi="Wingdings"/>
      </w:rPr>
    </w:lvl>
  </w:abstractNum>
  <w:abstractNum w:abstractNumId="4">
    <w:nsid w:val="2F6D366B"/>
    <w:multiLevelType w:val="multilevel"/>
    <w:tmpl w:val="2F6D366B"/>
    <w:lvl w:ilvl="0" w:tentative="0">
      <w:start w:val="1"/>
      <w:numFmt w:val="decimal"/>
      <w:lvlText w:val="%1、"/>
      <w:lvlJc w:val="left"/>
      <w:pPr>
        <w:ind w:left="928" w:hanging="36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132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74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216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58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300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342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84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4260" w:hanging="420"/>
      </w:pPr>
      <w:rPr>
        <w:rFonts w:cs="Times New Roman"/>
      </w:rPr>
    </w:lvl>
  </w:abstractNum>
  <w:abstractNum w:abstractNumId="5">
    <w:nsid w:val="42B26877"/>
    <w:multiLevelType w:val="multilevel"/>
    <w:tmpl w:val="42B26877"/>
    <w:lvl w:ilvl="0" w:tentative="0">
      <w:start w:val="1"/>
      <w:numFmt w:val="bullet"/>
      <w:lvlText w:val=""/>
      <w:lvlJc w:val="left"/>
      <w:pPr>
        <w:tabs>
          <w:tab w:val="left" w:pos="782"/>
        </w:tabs>
        <w:ind w:left="782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tabs>
          <w:tab w:val="left" w:pos="1502"/>
        </w:tabs>
        <w:ind w:left="1502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tabs>
          <w:tab w:val="left" w:pos="2222"/>
        </w:tabs>
        <w:ind w:left="2222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942"/>
        </w:tabs>
        <w:ind w:left="2942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62"/>
        </w:tabs>
        <w:ind w:left="3662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tabs>
          <w:tab w:val="left" w:pos="4382"/>
        </w:tabs>
        <w:ind w:left="4382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102"/>
        </w:tabs>
        <w:ind w:left="5102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822"/>
        </w:tabs>
        <w:ind w:left="5822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tabs>
          <w:tab w:val="left" w:pos="6542"/>
        </w:tabs>
        <w:ind w:left="6542" w:hanging="360"/>
      </w:pPr>
      <w:rPr>
        <w:rFonts w:hint="default" w:ascii="Wingdings" w:hAnsi="Wingdings"/>
      </w:rPr>
    </w:lvl>
  </w:abstractNum>
  <w:abstractNum w:abstractNumId="6">
    <w:nsid w:val="57EDD20A"/>
    <w:multiLevelType w:val="singleLevel"/>
    <w:tmpl w:val="57EDD20A"/>
    <w:lvl w:ilvl="0" w:tentative="0">
      <w:start w:val="2"/>
      <w:numFmt w:val="chineseCounting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5"/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hideSpellingErrors/>
  <w:hideGrammaticalErrors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BA392F"/>
    <w:rsid w:val="00000963"/>
    <w:rsid w:val="00002CE9"/>
    <w:rsid w:val="000046BA"/>
    <w:rsid w:val="000101E5"/>
    <w:rsid w:val="0001618A"/>
    <w:rsid w:val="0001789D"/>
    <w:rsid w:val="000221A0"/>
    <w:rsid w:val="00023FA7"/>
    <w:rsid w:val="00024826"/>
    <w:rsid w:val="00025B29"/>
    <w:rsid w:val="0003263D"/>
    <w:rsid w:val="00037366"/>
    <w:rsid w:val="000436AE"/>
    <w:rsid w:val="000454C0"/>
    <w:rsid w:val="00050480"/>
    <w:rsid w:val="00057F1E"/>
    <w:rsid w:val="000615CC"/>
    <w:rsid w:val="00065407"/>
    <w:rsid w:val="00067FDE"/>
    <w:rsid w:val="00094693"/>
    <w:rsid w:val="00095E5F"/>
    <w:rsid w:val="000A3389"/>
    <w:rsid w:val="000B0DDE"/>
    <w:rsid w:val="000B1712"/>
    <w:rsid w:val="000C0DA1"/>
    <w:rsid w:val="000C571E"/>
    <w:rsid w:val="000C6D84"/>
    <w:rsid w:val="000D02AC"/>
    <w:rsid w:val="000D115A"/>
    <w:rsid w:val="000D74E4"/>
    <w:rsid w:val="000E6472"/>
    <w:rsid w:val="000F30AF"/>
    <w:rsid w:val="000F3ADE"/>
    <w:rsid w:val="00100FB8"/>
    <w:rsid w:val="00101359"/>
    <w:rsid w:val="00101D3E"/>
    <w:rsid w:val="00105A89"/>
    <w:rsid w:val="0010749D"/>
    <w:rsid w:val="001202C3"/>
    <w:rsid w:val="00132617"/>
    <w:rsid w:val="00132C5E"/>
    <w:rsid w:val="00134218"/>
    <w:rsid w:val="00144B2D"/>
    <w:rsid w:val="00144C2E"/>
    <w:rsid w:val="0014551B"/>
    <w:rsid w:val="00151A44"/>
    <w:rsid w:val="001707ED"/>
    <w:rsid w:val="00170E9C"/>
    <w:rsid w:val="00172626"/>
    <w:rsid w:val="00175260"/>
    <w:rsid w:val="0018049C"/>
    <w:rsid w:val="00191CA5"/>
    <w:rsid w:val="00193685"/>
    <w:rsid w:val="00197741"/>
    <w:rsid w:val="001C1106"/>
    <w:rsid w:val="001C3A17"/>
    <w:rsid w:val="001C4D64"/>
    <w:rsid w:val="001C4FFF"/>
    <w:rsid w:val="001C70B1"/>
    <w:rsid w:val="001C7E9C"/>
    <w:rsid w:val="001D0BE4"/>
    <w:rsid w:val="001E2345"/>
    <w:rsid w:val="001E47DF"/>
    <w:rsid w:val="001F3819"/>
    <w:rsid w:val="001F74D0"/>
    <w:rsid w:val="001F77CB"/>
    <w:rsid w:val="0020380C"/>
    <w:rsid w:val="00213778"/>
    <w:rsid w:val="00215860"/>
    <w:rsid w:val="0023567B"/>
    <w:rsid w:val="002433BA"/>
    <w:rsid w:val="00250E53"/>
    <w:rsid w:val="002561E1"/>
    <w:rsid w:val="0025699C"/>
    <w:rsid w:val="00257DD9"/>
    <w:rsid w:val="00263C07"/>
    <w:rsid w:val="00263DA7"/>
    <w:rsid w:val="002676B2"/>
    <w:rsid w:val="00271D9D"/>
    <w:rsid w:val="002736FF"/>
    <w:rsid w:val="0028328A"/>
    <w:rsid w:val="00284837"/>
    <w:rsid w:val="00286D85"/>
    <w:rsid w:val="002912FD"/>
    <w:rsid w:val="00296ED7"/>
    <w:rsid w:val="002A7431"/>
    <w:rsid w:val="002B2D4C"/>
    <w:rsid w:val="002B3A36"/>
    <w:rsid w:val="002B65E9"/>
    <w:rsid w:val="002C38F3"/>
    <w:rsid w:val="002E035A"/>
    <w:rsid w:val="002E04CC"/>
    <w:rsid w:val="002E05F0"/>
    <w:rsid w:val="002E4C7A"/>
    <w:rsid w:val="002F3C20"/>
    <w:rsid w:val="002F4E93"/>
    <w:rsid w:val="002F5C94"/>
    <w:rsid w:val="003104C3"/>
    <w:rsid w:val="00310652"/>
    <w:rsid w:val="00313D57"/>
    <w:rsid w:val="00314932"/>
    <w:rsid w:val="00320892"/>
    <w:rsid w:val="00322BCF"/>
    <w:rsid w:val="0032320E"/>
    <w:rsid w:val="00323B26"/>
    <w:rsid w:val="003324E4"/>
    <w:rsid w:val="0033329B"/>
    <w:rsid w:val="00334D75"/>
    <w:rsid w:val="0034173F"/>
    <w:rsid w:val="00351F17"/>
    <w:rsid w:val="003648D4"/>
    <w:rsid w:val="00370EF3"/>
    <w:rsid w:val="00372E72"/>
    <w:rsid w:val="003751E1"/>
    <w:rsid w:val="0038414C"/>
    <w:rsid w:val="003848A9"/>
    <w:rsid w:val="00384E66"/>
    <w:rsid w:val="003946F0"/>
    <w:rsid w:val="00395895"/>
    <w:rsid w:val="003961D5"/>
    <w:rsid w:val="00396369"/>
    <w:rsid w:val="003A3C76"/>
    <w:rsid w:val="003A7D73"/>
    <w:rsid w:val="003B13D1"/>
    <w:rsid w:val="003C125C"/>
    <w:rsid w:val="003C3E53"/>
    <w:rsid w:val="003D5671"/>
    <w:rsid w:val="003D6226"/>
    <w:rsid w:val="003D692D"/>
    <w:rsid w:val="003E11DA"/>
    <w:rsid w:val="003E551F"/>
    <w:rsid w:val="003E5F97"/>
    <w:rsid w:val="003F147B"/>
    <w:rsid w:val="003F5328"/>
    <w:rsid w:val="003F611C"/>
    <w:rsid w:val="003F75A3"/>
    <w:rsid w:val="00401561"/>
    <w:rsid w:val="0040179E"/>
    <w:rsid w:val="0040245B"/>
    <w:rsid w:val="00410EA8"/>
    <w:rsid w:val="00412E83"/>
    <w:rsid w:val="004230EE"/>
    <w:rsid w:val="00427B3B"/>
    <w:rsid w:val="00434348"/>
    <w:rsid w:val="00444079"/>
    <w:rsid w:val="00445A6D"/>
    <w:rsid w:val="00450905"/>
    <w:rsid w:val="00452002"/>
    <w:rsid w:val="00455246"/>
    <w:rsid w:val="0045767D"/>
    <w:rsid w:val="0046660D"/>
    <w:rsid w:val="00471AE8"/>
    <w:rsid w:val="00474531"/>
    <w:rsid w:val="00476C21"/>
    <w:rsid w:val="004770FC"/>
    <w:rsid w:val="004779EC"/>
    <w:rsid w:val="00480524"/>
    <w:rsid w:val="00492BFD"/>
    <w:rsid w:val="004977E4"/>
    <w:rsid w:val="00497E40"/>
    <w:rsid w:val="004A6B72"/>
    <w:rsid w:val="004B6C3B"/>
    <w:rsid w:val="004C0908"/>
    <w:rsid w:val="004C2C93"/>
    <w:rsid w:val="004C4DEB"/>
    <w:rsid w:val="004C5F7A"/>
    <w:rsid w:val="004D2DA8"/>
    <w:rsid w:val="004E57A6"/>
    <w:rsid w:val="004F0821"/>
    <w:rsid w:val="0050190B"/>
    <w:rsid w:val="0050360E"/>
    <w:rsid w:val="0050463A"/>
    <w:rsid w:val="0050564E"/>
    <w:rsid w:val="00512216"/>
    <w:rsid w:val="00513873"/>
    <w:rsid w:val="00516877"/>
    <w:rsid w:val="00516ADA"/>
    <w:rsid w:val="00517FE7"/>
    <w:rsid w:val="00521357"/>
    <w:rsid w:val="00525C98"/>
    <w:rsid w:val="00541368"/>
    <w:rsid w:val="00542153"/>
    <w:rsid w:val="00543F39"/>
    <w:rsid w:val="00553543"/>
    <w:rsid w:val="00555328"/>
    <w:rsid w:val="005615AD"/>
    <w:rsid w:val="00565885"/>
    <w:rsid w:val="00565D84"/>
    <w:rsid w:val="00567F03"/>
    <w:rsid w:val="005748C8"/>
    <w:rsid w:val="00577F59"/>
    <w:rsid w:val="00581B68"/>
    <w:rsid w:val="00590874"/>
    <w:rsid w:val="00593D28"/>
    <w:rsid w:val="005965E2"/>
    <w:rsid w:val="005A240C"/>
    <w:rsid w:val="005A6408"/>
    <w:rsid w:val="005A6E7E"/>
    <w:rsid w:val="005A7BBA"/>
    <w:rsid w:val="005B5EEA"/>
    <w:rsid w:val="005C42A5"/>
    <w:rsid w:val="005D2403"/>
    <w:rsid w:val="005D2C4E"/>
    <w:rsid w:val="005E4907"/>
    <w:rsid w:val="005F112B"/>
    <w:rsid w:val="005F20FF"/>
    <w:rsid w:val="005F3364"/>
    <w:rsid w:val="00600072"/>
    <w:rsid w:val="00602FF2"/>
    <w:rsid w:val="00610424"/>
    <w:rsid w:val="0061194D"/>
    <w:rsid w:val="006203B0"/>
    <w:rsid w:val="006222BF"/>
    <w:rsid w:val="00623AD3"/>
    <w:rsid w:val="006257A7"/>
    <w:rsid w:val="0063269C"/>
    <w:rsid w:val="0063659B"/>
    <w:rsid w:val="0063683D"/>
    <w:rsid w:val="0064107D"/>
    <w:rsid w:val="00644AEF"/>
    <w:rsid w:val="00647368"/>
    <w:rsid w:val="00647B48"/>
    <w:rsid w:val="0066673F"/>
    <w:rsid w:val="00667F09"/>
    <w:rsid w:val="006852E8"/>
    <w:rsid w:val="0068624F"/>
    <w:rsid w:val="00687EDA"/>
    <w:rsid w:val="006936B3"/>
    <w:rsid w:val="006A04DB"/>
    <w:rsid w:val="006A1B82"/>
    <w:rsid w:val="006A7AB0"/>
    <w:rsid w:val="006B19FF"/>
    <w:rsid w:val="006C01FB"/>
    <w:rsid w:val="006C29DC"/>
    <w:rsid w:val="006D1DD1"/>
    <w:rsid w:val="006D2E3F"/>
    <w:rsid w:val="006D37A0"/>
    <w:rsid w:val="006E0355"/>
    <w:rsid w:val="006F290A"/>
    <w:rsid w:val="006F5DAA"/>
    <w:rsid w:val="006F6AFB"/>
    <w:rsid w:val="007017CD"/>
    <w:rsid w:val="0070477B"/>
    <w:rsid w:val="007057FC"/>
    <w:rsid w:val="00706048"/>
    <w:rsid w:val="00706546"/>
    <w:rsid w:val="007118C2"/>
    <w:rsid w:val="0072038F"/>
    <w:rsid w:val="00740993"/>
    <w:rsid w:val="00746A4F"/>
    <w:rsid w:val="00752CDE"/>
    <w:rsid w:val="0075403A"/>
    <w:rsid w:val="00755306"/>
    <w:rsid w:val="00756C00"/>
    <w:rsid w:val="00757677"/>
    <w:rsid w:val="007634FA"/>
    <w:rsid w:val="007667C1"/>
    <w:rsid w:val="007668CC"/>
    <w:rsid w:val="00774062"/>
    <w:rsid w:val="00784F24"/>
    <w:rsid w:val="0078521E"/>
    <w:rsid w:val="007878F8"/>
    <w:rsid w:val="007A3754"/>
    <w:rsid w:val="007A5D60"/>
    <w:rsid w:val="007B09CF"/>
    <w:rsid w:val="007B2DBD"/>
    <w:rsid w:val="007B5361"/>
    <w:rsid w:val="007C74D9"/>
    <w:rsid w:val="007E0FF4"/>
    <w:rsid w:val="007E1070"/>
    <w:rsid w:val="007F1E1A"/>
    <w:rsid w:val="007F4D66"/>
    <w:rsid w:val="007F53A7"/>
    <w:rsid w:val="007F67A6"/>
    <w:rsid w:val="00807762"/>
    <w:rsid w:val="008117C5"/>
    <w:rsid w:val="00811F7D"/>
    <w:rsid w:val="00812C1F"/>
    <w:rsid w:val="00814966"/>
    <w:rsid w:val="00815AA6"/>
    <w:rsid w:val="00820A6F"/>
    <w:rsid w:val="00825BC6"/>
    <w:rsid w:val="00830736"/>
    <w:rsid w:val="00836B97"/>
    <w:rsid w:val="00846266"/>
    <w:rsid w:val="00854B25"/>
    <w:rsid w:val="008768E3"/>
    <w:rsid w:val="00881DD9"/>
    <w:rsid w:val="00885262"/>
    <w:rsid w:val="00896CB4"/>
    <w:rsid w:val="008B76D4"/>
    <w:rsid w:val="008D192B"/>
    <w:rsid w:val="008D2CED"/>
    <w:rsid w:val="008D668A"/>
    <w:rsid w:val="008D6B53"/>
    <w:rsid w:val="008F07F7"/>
    <w:rsid w:val="00901A31"/>
    <w:rsid w:val="00905C95"/>
    <w:rsid w:val="009067F2"/>
    <w:rsid w:val="00907A48"/>
    <w:rsid w:val="009137BB"/>
    <w:rsid w:val="0091480D"/>
    <w:rsid w:val="00920557"/>
    <w:rsid w:val="00923D10"/>
    <w:rsid w:val="00934712"/>
    <w:rsid w:val="00946D81"/>
    <w:rsid w:val="0096068C"/>
    <w:rsid w:val="00960C5B"/>
    <w:rsid w:val="009744B5"/>
    <w:rsid w:val="00976736"/>
    <w:rsid w:val="00976EA1"/>
    <w:rsid w:val="009770B2"/>
    <w:rsid w:val="00993C68"/>
    <w:rsid w:val="009958FF"/>
    <w:rsid w:val="009A0FD6"/>
    <w:rsid w:val="009A4C7B"/>
    <w:rsid w:val="009A61B6"/>
    <w:rsid w:val="009B0D6C"/>
    <w:rsid w:val="009B15F1"/>
    <w:rsid w:val="009B6265"/>
    <w:rsid w:val="009D5BF8"/>
    <w:rsid w:val="009D61AA"/>
    <w:rsid w:val="009D6B9D"/>
    <w:rsid w:val="009E2730"/>
    <w:rsid w:val="009E6920"/>
    <w:rsid w:val="009F3270"/>
    <w:rsid w:val="009F4A04"/>
    <w:rsid w:val="009F663E"/>
    <w:rsid w:val="00A01D6F"/>
    <w:rsid w:val="00A0214F"/>
    <w:rsid w:val="00A23121"/>
    <w:rsid w:val="00A31708"/>
    <w:rsid w:val="00A350DE"/>
    <w:rsid w:val="00A37EB7"/>
    <w:rsid w:val="00A4442D"/>
    <w:rsid w:val="00A53AB7"/>
    <w:rsid w:val="00A57488"/>
    <w:rsid w:val="00A6482E"/>
    <w:rsid w:val="00A76010"/>
    <w:rsid w:val="00A806FF"/>
    <w:rsid w:val="00A80AF9"/>
    <w:rsid w:val="00A84CC2"/>
    <w:rsid w:val="00A865A8"/>
    <w:rsid w:val="00A9510D"/>
    <w:rsid w:val="00A96B68"/>
    <w:rsid w:val="00A96E40"/>
    <w:rsid w:val="00AA28E9"/>
    <w:rsid w:val="00AA777C"/>
    <w:rsid w:val="00AB40D0"/>
    <w:rsid w:val="00AB4EB0"/>
    <w:rsid w:val="00AB5789"/>
    <w:rsid w:val="00AD2E75"/>
    <w:rsid w:val="00AE756D"/>
    <w:rsid w:val="00AF117C"/>
    <w:rsid w:val="00B032D5"/>
    <w:rsid w:val="00B03D79"/>
    <w:rsid w:val="00B04446"/>
    <w:rsid w:val="00B05254"/>
    <w:rsid w:val="00B07B6A"/>
    <w:rsid w:val="00B14E96"/>
    <w:rsid w:val="00B1795E"/>
    <w:rsid w:val="00B3187E"/>
    <w:rsid w:val="00B44031"/>
    <w:rsid w:val="00B45015"/>
    <w:rsid w:val="00B4681F"/>
    <w:rsid w:val="00B46E87"/>
    <w:rsid w:val="00B52CEC"/>
    <w:rsid w:val="00B52D8C"/>
    <w:rsid w:val="00B535DC"/>
    <w:rsid w:val="00B53629"/>
    <w:rsid w:val="00B56A93"/>
    <w:rsid w:val="00B56A97"/>
    <w:rsid w:val="00B60424"/>
    <w:rsid w:val="00B62DFD"/>
    <w:rsid w:val="00B734A0"/>
    <w:rsid w:val="00B80158"/>
    <w:rsid w:val="00B82BEB"/>
    <w:rsid w:val="00B92C40"/>
    <w:rsid w:val="00B94D09"/>
    <w:rsid w:val="00B96276"/>
    <w:rsid w:val="00BA18D0"/>
    <w:rsid w:val="00BA2993"/>
    <w:rsid w:val="00BA32A1"/>
    <w:rsid w:val="00BA392F"/>
    <w:rsid w:val="00BA7013"/>
    <w:rsid w:val="00BC2C6D"/>
    <w:rsid w:val="00BD02A5"/>
    <w:rsid w:val="00BD6493"/>
    <w:rsid w:val="00BE188A"/>
    <w:rsid w:val="00BF34E6"/>
    <w:rsid w:val="00BF41EF"/>
    <w:rsid w:val="00C11AB2"/>
    <w:rsid w:val="00C15756"/>
    <w:rsid w:val="00C15FDE"/>
    <w:rsid w:val="00C21BD7"/>
    <w:rsid w:val="00C25754"/>
    <w:rsid w:val="00C4036B"/>
    <w:rsid w:val="00C41A85"/>
    <w:rsid w:val="00C420A7"/>
    <w:rsid w:val="00C507D5"/>
    <w:rsid w:val="00C53922"/>
    <w:rsid w:val="00C554B2"/>
    <w:rsid w:val="00C560D1"/>
    <w:rsid w:val="00C64055"/>
    <w:rsid w:val="00C64747"/>
    <w:rsid w:val="00C65751"/>
    <w:rsid w:val="00C7413C"/>
    <w:rsid w:val="00C77387"/>
    <w:rsid w:val="00C8168C"/>
    <w:rsid w:val="00C9194B"/>
    <w:rsid w:val="00CA021A"/>
    <w:rsid w:val="00CA02D2"/>
    <w:rsid w:val="00CB4EA4"/>
    <w:rsid w:val="00CC385D"/>
    <w:rsid w:val="00CC7D61"/>
    <w:rsid w:val="00CD21BC"/>
    <w:rsid w:val="00CE588F"/>
    <w:rsid w:val="00CE5C75"/>
    <w:rsid w:val="00CF0F6C"/>
    <w:rsid w:val="00CF300F"/>
    <w:rsid w:val="00CF710C"/>
    <w:rsid w:val="00D007F8"/>
    <w:rsid w:val="00D012DD"/>
    <w:rsid w:val="00D027D9"/>
    <w:rsid w:val="00D1172B"/>
    <w:rsid w:val="00D25925"/>
    <w:rsid w:val="00D308BE"/>
    <w:rsid w:val="00D30E42"/>
    <w:rsid w:val="00D40161"/>
    <w:rsid w:val="00D4730A"/>
    <w:rsid w:val="00D4733C"/>
    <w:rsid w:val="00D60506"/>
    <w:rsid w:val="00D60AE6"/>
    <w:rsid w:val="00D61E4E"/>
    <w:rsid w:val="00D62CA7"/>
    <w:rsid w:val="00D64F61"/>
    <w:rsid w:val="00D67384"/>
    <w:rsid w:val="00D70002"/>
    <w:rsid w:val="00D703EA"/>
    <w:rsid w:val="00D83F04"/>
    <w:rsid w:val="00D8518B"/>
    <w:rsid w:val="00D90797"/>
    <w:rsid w:val="00DA1AEF"/>
    <w:rsid w:val="00DA73C8"/>
    <w:rsid w:val="00DB441A"/>
    <w:rsid w:val="00DC2D2D"/>
    <w:rsid w:val="00DC446D"/>
    <w:rsid w:val="00DD63DA"/>
    <w:rsid w:val="00DE5392"/>
    <w:rsid w:val="00DE566A"/>
    <w:rsid w:val="00DF6FA5"/>
    <w:rsid w:val="00E01323"/>
    <w:rsid w:val="00E05974"/>
    <w:rsid w:val="00E10235"/>
    <w:rsid w:val="00E17D8A"/>
    <w:rsid w:val="00E27D75"/>
    <w:rsid w:val="00E36B40"/>
    <w:rsid w:val="00E43E8B"/>
    <w:rsid w:val="00E45E56"/>
    <w:rsid w:val="00E539B4"/>
    <w:rsid w:val="00E53CC4"/>
    <w:rsid w:val="00E662FF"/>
    <w:rsid w:val="00E67871"/>
    <w:rsid w:val="00E720CE"/>
    <w:rsid w:val="00E83267"/>
    <w:rsid w:val="00E950C6"/>
    <w:rsid w:val="00E972F7"/>
    <w:rsid w:val="00EA5432"/>
    <w:rsid w:val="00EB4C5D"/>
    <w:rsid w:val="00EB7141"/>
    <w:rsid w:val="00EC24C6"/>
    <w:rsid w:val="00EC504F"/>
    <w:rsid w:val="00EC5C96"/>
    <w:rsid w:val="00EE0418"/>
    <w:rsid w:val="00EE5E99"/>
    <w:rsid w:val="00EF0476"/>
    <w:rsid w:val="00EF232A"/>
    <w:rsid w:val="00EF4AA3"/>
    <w:rsid w:val="00F052BC"/>
    <w:rsid w:val="00F20BE3"/>
    <w:rsid w:val="00F210E8"/>
    <w:rsid w:val="00F2356D"/>
    <w:rsid w:val="00F24048"/>
    <w:rsid w:val="00F30C32"/>
    <w:rsid w:val="00F34936"/>
    <w:rsid w:val="00F46E82"/>
    <w:rsid w:val="00F47939"/>
    <w:rsid w:val="00F51C3B"/>
    <w:rsid w:val="00F53F39"/>
    <w:rsid w:val="00F701CB"/>
    <w:rsid w:val="00F80836"/>
    <w:rsid w:val="00F85494"/>
    <w:rsid w:val="00F86047"/>
    <w:rsid w:val="00F90DC9"/>
    <w:rsid w:val="00F92006"/>
    <w:rsid w:val="00FA2EA6"/>
    <w:rsid w:val="00FA6B99"/>
    <w:rsid w:val="00FB3B90"/>
    <w:rsid w:val="00FB7F4F"/>
    <w:rsid w:val="00FC0F80"/>
    <w:rsid w:val="00FC1947"/>
    <w:rsid w:val="00FD09E6"/>
    <w:rsid w:val="00FD22DF"/>
    <w:rsid w:val="00FD528D"/>
    <w:rsid w:val="00FD7AA7"/>
    <w:rsid w:val="00FD7F61"/>
    <w:rsid w:val="00FE7F2D"/>
    <w:rsid w:val="00FF03E0"/>
    <w:rsid w:val="00FF1E6D"/>
    <w:rsid w:val="0D123AD2"/>
    <w:rsid w:val="137F79C5"/>
    <w:rsid w:val="182B243A"/>
    <w:rsid w:val="19711985"/>
    <w:rsid w:val="33E678D7"/>
    <w:rsid w:val="4DF55FB1"/>
    <w:rsid w:val="5C4609AF"/>
    <w:rsid w:val="68954020"/>
    <w:rsid w:val="707724AD"/>
    <w:rsid w:val="7B8737A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12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9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qFormat/>
    <w:uiPriority w:val="99"/>
    <w:rPr>
      <w:rFonts w:cs="Times New Roman"/>
      <w:color w:val="0000FF"/>
      <w:u w:val="single"/>
    </w:rPr>
  </w:style>
  <w:style w:type="character" w:customStyle="1" w:styleId="9">
    <w:name w:val="p21"/>
    <w:qFormat/>
    <w:uiPriority w:val="99"/>
    <w:rPr>
      <w:rFonts w:cs="Times New Roman"/>
      <w:sz w:val="21"/>
      <w:szCs w:val="21"/>
    </w:rPr>
  </w:style>
  <w:style w:type="character" w:customStyle="1" w:styleId="10">
    <w:name w:val="批注框文本 Char"/>
    <w:link w:val="2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页眉 Char"/>
    <w:link w:val="4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页脚 Char"/>
    <w:link w:val="3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3">
    <w:name w:val="列出段落1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0936AE8-9658-4247-B765-F8CB760E497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6</Pages>
  <Words>344</Words>
  <Characters>1966</Characters>
  <Lines>16</Lines>
  <Paragraphs>4</Paragraphs>
  <TotalTime>118</TotalTime>
  <ScaleCrop>false</ScaleCrop>
  <LinksUpToDate>false</LinksUpToDate>
  <CharactersWithSpaces>2306</CharactersWithSpaces>
  <Application>WPS Office_11.1.0.9145_F1E327BC-269C-435d-A152-05C5408002CA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2012-09-27T02:00:00Z</dcterms:created>
  <dc:creator>lilyxiong</dc:creator>
  <cp:lastModifiedBy>刘老师</cp:lastModifiedBy>
  <cp:lastPrinted>2013-07-30T07:49:00Z</cp:lastPrinted>
  <dcterms:modified xsi:type="dcterms:W3CDTF">2019-11-18T06:07:25Z</dcterms:modified>
  <cp:revision>551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