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70" w:lineRule="exact" w:before="0"/>
        <w:ind w:left="1832" w:right="0" w:firstLine="0"/>
        <w:jc w:val="left"/>
        <w:rPr>
          <w:b/>
          <w:sz w:val="32"/>
        </w:rPr>
      </w:pPr>
      <w:r>
        <w:rPr>
          <w:b/>
          <w:sz w:val="32"/>
        </w:rPr>
        <w:t>新经济领跑计划暨国合耶鲁项目面试通知</w:t>
      </w:r>
    </w:p>
    <w:p>
      <w:pPr>
        <w:pStyle w:val="BodyText"/>
        <w:spacing w:line="223" w:lineRule="auto" w:before="345"/>
        <w:ind w:left="557" w:right="375" w:firstLine="420"/>
        <w:jc w:val="both"/>
      </w:pPr>
      <w:r>
        <w:rPr/>
        <w:t>“国合·耶鲁全球领导力培养计划”是国家发展改革委国际合作中心联合耶鲁大学管理</w:t>
      </w:r>
      <w:r>
        <w:rPr>
          <w:spacing w:val="1"/>
          <w:w w:val="99"/>
        </w:rPr>
        <w:t>学院于</w:t>
      </w:r>
      <w:r>
        <w:rPr>
          <w:spacing w:val="1"/>
        </w:rPr>
        <w:t> </w:t>
      </w:r>
      <w:r>
        <w:rPr>
          <w:spacing w:val="-1"/>
          <w:w w:val="99"/>
        </w:rPr>
        <w:t>201</w:t>
      </w:r>
      <w:r>
        <w:rPr>
          <w:w w:val="99"/>
        </w:rPr>
        <w:t>3</w:t>
      </w:r>
      <w:r>
        <w:rPr/>
        <w:t> </w:t>
      </w:r>
      <w:r>
        <w:rPr>
          <w:spacing w:val="-2"/>
          <w:w w:val="99"/>
        </w:rPr>
        <w:t>年共同推出，该项目创造性提出将“企业战略主动与国家战略融合”，真正做</w:t>
      </w:r>
      <w:r>
        <w:rPr>
          <w:spacing w:val="-10"/>
          <w:w w:val="99"/>
        </w:rPr>
        <w:t>到“无缝对接、同频共振”，培养参与全球治理、承担国家战略任务的领军型企业家。</w:t>
      </w:r>
    </w:p>
    <w:p>
      <w:pPr>
        <w:pStyle w:val="BodyText"/>
        <w:spacing w:line="223" w:lineRule="auto"/>
        <w:ind w:left="557" w:right="375" w:firstLine="420"/>
        <w:jc w:val="both"/>
      </w:pPr>
      <w:r>
        <w:rPr>
          <w:spacing w:val="-10"/>
          <w:w w:val="95"/>
        </w:rPr>
        <w:t>几年来，能源、环保、材料、信息科技、贸易、制造、工程、房地产、金融服务等领域    </w:t>
      </w:r>
      <w:r>
        <w:rPr>
          <w:spacing w:val="-8"/>
        </w:rPr>
        <w:t>的 </w:t>
      </w:r>
      <w:r>
        <w:rPr/>
        <w:t>400 余位学员通过国合耶鲁项目共同学习，取长补短，整合资源，共谋发展。逐步成长</w:t>
      </w:r>
      <w:r>
        <w:rPr>
          <w:spacing w:val="-11"/>
        </w:rPr>
        <w:t>为“一带一路”、战略新兴产业、区域经济发展等领域佼佼者，勇挑国家战略重任。</w:t>
      </w:r>
    </w:p>
    <w:p>
      <w:pPr>
        <w:pStyle w:val="BodyText"/>
        <w:spacing w:line="223" w:lineRule="auto" w:before="2"/>
        <w:ind w:left="557" w:right="375" w:firstLine="420"/>
      </w:pPr>
      <w:r>
        <w:rPr>
          <w:spacing w:val="-7"/>
          <w:w w:val="95"/>
        </w:rPr>
        <w:t>即将开班的第八期班，我们将选拔一批能承担国家战略使命、在创新领域具有代表性的    </w:t>
      </w:r>
      <w:r>
        <w:rPr>
          <w:spacing w:val="-7"/>
        </w:rPr>
        <w:t>企业，领跑中国新经济！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426" w:lineRule="exact"/>
        <w:ind w:left="557"/>
      </w:pPr>
      <w:r>
        <w:rPr>
          <w:b/>
          <w:sz w:val="24"/>
        </w:rPr>
        <w:t>【面试时间】</w:t>
      </w:r>
      <w:r>
        <w:rPr/>
        <w:t>2019 年 12 月 11 日（周三）13:30-17:00</w:t>
      </w:r>
    </w:p>
    <w:p>
      <w:pPr>
        <w:spacing w:line="412" w:lineRule="exact" w:before="0"/>
        <w:ind w:left="557" w:right="0" w:firstLine="0"/>
        <w:jc w:val="left"/>
        <w:rPr>
          <w:sz w:val="21"/>
        </w:rPr>
      </w:pPr>
      <w:r>
        <w:rPr>
          <w:b/>
          <w:sz w:val="24"/>
        </w:rPr>
        <w:t>【面试地点】</w:t>
      </w:r>
      <w:r>
        <w:rPr>
          <w:sz w:val="21"/>
        </w:rPr>
        <w:t>国家发展和改革委员会国际合作中心</w:t>
      </w:r>
    </w:p>
    <w:p>
      <w:pPr>
        <w:pStyle w:val="BodyText"/>
        <w:spacing w:line="373" w:lineRule="exact"/>
        <w:ind w:left="1920"/>
      </w:pPr>
      <w:r>
        <w:rPr/>
        <w:t>（北京市西城区白云路 1 号）</w:t>
      </w: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【面试内容】</w:t>
      </w: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3685"/>
        <w:gridCol w:w="3686"/>
      </w:tblGrid>
      <w:tr>
        <w:trPr>
          <w:trHeight w:val="510" w:hRule="atLeast"/>
        </w:trPr>
        <w:tc>
          <w:tcPr>
            <w:tcW w:w="8755" w:type="dxa"/>
            <w:gridSpan w:val="3"/>
          </w:tcPr>
          <w:p>
            <w:pPr>
              <w:pStyle w:val="TableParagraph"/>
              <w:spacing w:before="46"/>
              <w:ind w:left="2672" w:right="26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一：企业家学习目标明确性评估</w:t>
            </w:r>
          </w:p>
        </w:tc>
      </w:tr>
      <w:tr>
        <w:trPr>
          <w:trHeight w:val="476" w:hRule="atLeast"/>
        </w:trPr>
        <w:tc>
          <w:tcPr>
            <w:tcW w:w="1384" w:type="dxa"/>
          </w:tcPr>
          <w:p>
            <w:pPr>
              <w:pStyle w:val="TableParagraph"/>
              <w:spacing w:before="27"/>
              <w:rPr>
                <w:b/>
                <w:sz w:val="21"/>
              </w:rPr>
            </w:pPr>
            <w:r>
              <w:rPr>
                <w:b/>
                <w:sz w:val="21"/>
              </w:rPr>
              <w:t>面试目的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帮助企业家深入了解项目，考察企业家学习目标与项目培养目标的匹配度</w:t>
            </w:r>
          </w:p>
        </w:tc>
      </w:tr>
      <w:tr>
        <w:trPr>
          <w:trHeight w:val="530" w:hRule="atLeast"/>
        </w:trPr>
        <w:tc>
          <w:tcPr>
            <w:tcW w:w="1384" w:type="dxa"/>
          </w:tcPr>
          <w:p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要点提醒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before="55"/>
              <w:rPr>
                <w:sz w:val="21"/>
              </w:rPr>
            </w:pPr>
            <w:r>
              <w:rPr>
                <w:sz w:val="21"/>
              </w:rPr>
              <w:t>请企业家提前了解项目要点及培养模式等内容，可就不明之处提出问题</w:t>
            </w:r>
          </w:p>
        </w:tc>
      </w:tr>
      <w:tr>
        <w:trPr>
          <w:trHeight w:val="496" w:hRule="atLeast"/>
        </w:trPr>
        <w:tc>
          <w:tcPr>
            <w:tcW w:w="1384" w:type="dxa"/>
          </w:tcPr>
          <w:p>
            <w:pPr>
              <w:pStyle w:val="TableParagraph"/>
              <w:spacing w:before="38"/>
              <w:rPr>
                <w:b/>
                <w:sz w:val="21"/>
              </w:rPr>
            </w:pPr>
            <w:r>
              <w:rPr>
                <w:b/>
                <w:sz w:val="21"/>
              </w:rPr>
              <w:t>面试时长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before="38"/>
              <w:rPr>
                <w:sz w:val="21"/>
              </w:rPr>
            </w:pPr>
            <w:r>
              <w:rPr>
                <w:sz w:val="21"/>
              </w:rPr>
              <w:t>20 分钟/人</w:t>
            </w:r>
          </w:p>
        </w:tc>
      </w:tr>
      <w:tr>
        <w:trPr>
          <w:trHeight w:val="563" w:hRule="atLeast"/>
        </w:trPr>
        <w:tc>
          <w:tcPr>
            <w:tcW w:w="8755" w:type="dxa"/>
            <w:gridSpan w:val="3"/>
          </w:tcPr>
          <w:p>
            <w:pPr>
              <w:pStyle w:val="TableParagraph"/>
              <w:spacing w:before="71"/>
              <w:ind w:left="2675" w:right="26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二：企业核心竞争力及发展潜力评估</w:t>
            </w:r>
          </w:p>
        </w:tc>
      </w:tr>
      <w:tr>
        <w:trPr>
          <w:trHeight w:val="488" w:hRule="atLeast"/>
        </w:trPr>
        <w:tc>
          <w:tcPr>
            <w:tcW w:w="1384" w:type="dxa"/>
          </w:tcPr>
          <w:p>
            <w:pPr>
              <w:pStyle w:val="TableParagraph"/>
              <w:spacing w:before="33"/>
              <w:rPr>
                <w:b/>
                <w:sz w:val="21"/>
              </w:rPr>
            </w:pPr>
            <w:r>
              <w:rPr>
                <w:b/>
                <w:sz w:val="21"/>
              </w:rPr>
              <w:t>面试模块</w:t>
            </w:r>
          </w:p>
        </w:tc>
        <w:tc>
          <w:tcPr>
            <w:tcW w:w="3685" w:type="dxa"/>
          </w:tcPr>
          <w:p>
            <w:pPr>
              <w:pStyle w:val="TableParagraph"/>
              <w:spacing w:before="33"/>
              <w:rPr>
                <w:sz w:val="21"/>
              </w:rPr>
            </w:pPr>
            <w:r>
              <w:rPr>
                <w:sz w:val="21"/>
              </w:rPr>
              <w:t>企业核心竞争力评估</w:t>
            </w:r>
          </w:p>
        </w:tc>
        <w:tc>
          <w:tcPr>
            <w:tcW w:w="3686" w:type="dxa"/>
          </w:tcPr>
          <w:p>
            <w:pPr>
              <w:pStyle w:val="TableParagraph"/>
              <w:spacing w:before="33"/>
              <w:ind w:left="106"/>
              <w:rPr>
                <w:sz w:val="21"/>
              </w:rPr>
            </w:pPr>
            <w:r>
              <w:rPr>
                <w:sz w:val="21"/>
              </w:rPr>
              <w:t>企业发展潜力评估</w:t>
            </w:r>
          </w:p>
        </w:tc>
      </w:tr>
      <w:tr>
        <w:trPr>
          <w:trHeight w:val="455" w:hRule="atLeast"/>
        </w:trPr>
        <w:tc>
          <w:tcPr>
            <w:tcW w:w="1384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面试目的</w:t>
            </w:r>
          </w:p>
        </w:tc>
        <w:tc>
          <w:tcPr>
            <w:tcW w:w="36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考察企业核心竞争力</w:t>
            </w:r>
          </w:p>
        </w:tc>
        <w:tc>
          <w:tcPr>
            <w:tcW w:w="3686" w:type="dxa"/>
          </w:tcPr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考察企业未来三年的领跑计划</w:t>
            </w:r>
          </w:p>
        </w:tc>
      </w:tr>
      <w:tr>
        <w:trPr>
          <w:trHeight w:val="899" w:hRule="atLeast"/>
        </w:trPr>
        <w:tc>
          <w:tcPr>
            <w:tcW w:w="1384" w:type="dxa"/>
          </w:tcPr>
          <w:p>
            <w:pPr>
              <w:pStyle w:val="TableParagraph"/>
              <w:spacing w:before="240"/>
              <w:rPr>
                <w:b/>
                <w:sz w:val="21"/>
              </w:rPr>
            </w:pPr>
            <w:r>
              <w:rPr>
                <w:b/>
                <w:sz w:val="21"/>
              </w:rPr>
              <w:t>要点提醒</w:t>
            </w:r>
          </w:p>
        </w:tc>
        <w:tc>
          <w:tcPr>
            <w:tcW w:w="3685" w:type="dxa"/>
          </w:tcPr>
          <w:p>
            <w:pPr>
              <w:pStyle w:val="TableParagraph"/>
              <w:spacing w:line="223" w:lineRule="auto" w:before="80"/>
              <w:ind w:right="-15"/>
              <w:rPr>
                <w:sz w:val="21"/>
              </w:rPr>
            </w:pPr>
            <w:r>
              <w:rPr>
                <w:sz w:val="21"/>
              </w:rPr>
              <w:t>介绍自己及企业，对行业机会、痛点、难点的认识及企业解决方案</w:t>
            </w:r>
          </w:p>
        </w:tc>
        <w:tc>
          <w:tcPr>
            <w:tcW w:w="3686" w:type="dxa"/>
          </w:tcPr>
          <w:p>
            <w:pPr>
              <w:pStyle w:val="TableParagraph"/>
              <w:spacing w:line="223" w:lineRule="auto" w:before="80"/>
              <w:ind w:left="106" w:right="-15"/>
              <w:rPr>
                <w:sz w:val="21"/>
              </w:rPr>
            </w:pPr>
            <w:r>
              <w:rPr>
                <w:spacing w:val="-7"/>
                <w:sz w:val="21"/>
              </w:rPr>
              <w:t>对企业未来三年发展在政策、技术、市</w:t>
            </w:r>
            <w:r>
              <w:rPr>
                <w:spacing w:val="-19"/>
                <w:sz w:val="21"/>
              </w:rPr>
              <w:t>场、资金等几方面的判断和规划</w:t>
            </w:r>
            <w:r>
              <w:rPr>
                <w:sz w:val="21"/>
              </w:rPr>
              <w:t>（策略）</w:t>
            </w:r>
          </w:p>
        </w:tc>
      </w:tr>
      <w:tr>
        <w:trPr>
          <w:trHeight w:val="496" w:hRule="atLeast"/>
        </w:trPr>
        <w:tc>
          <w:tcPr>
            <w:tcW w:w="1384" w:type="dxa"/>
          </w:tcPr>
          <w:p>
            <w:pPr>
              <w:pStyle w:val="TableParagraph"/>
              <w:spacing w:before="39"/>
              <w:rPr>
                <w:b/>
                <w:sz w:val="21"/>
              </w:rPr>
            </w:pPr>
            <w:r>
              <w:rPr>
                <w:b/>
                <w:sz w:val="21"/>
              </w:rPr>
              <w:t>面试时长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before="39"/>
              <w:rPr>
                <w:sz w:val="21"/>
              </w:rPr>
            </w:pPr>
            <w:r>
              <w:rPr>
                <w:sz w:val="21"/>
              </w:rPr>
              <w:t>25 分钟/人</w:t>
            </w:r>
          </w:p>
        </w:tc>
      </w:tr>
      <w:tr>
        <w:trPr>
          <w:trHeight w:val="510" w:hRule="atLeast"/>
        </w:trPr>
        <w:tc>
          <w:tcPr>
            <w:tcW w:w="8755" w:type="dxa"/>
            <w:gridSpan w:val="3"/>
          </w:tcPr>
          <w:p>
            <w:pPr>
              <w:pStyle w:val="TableParagraph"/>
              <w:spacing w:before="46"/>
              <w:ind w:left="2675" w:right="26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三：企业家格局评估</w:t>
            </w:r>
          </w:p>
        </w:tc>
      </w:tr>
      <w:tr>
        <w:trPr>
          <w:trHeight w:val="434" w:hRule="atLeast"/>
        </w:trPr>
        <w:tc>
          <w:tcPr>
            <w:tcW w:w="1384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面试目的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考察企业家的政治觉悟和宏观视野</w:t>
            </w:r>
          </w:p>
        </w:tc>
      </w:tr>
      <w:tr>
        <w:trPr>
          <w:trHeight w:val="837" w:hRule="atLeast"/>
        </w:trPr>
        <w:tc>
          <w:tcPr>
            <w:tcW w:w="1384" w:type="dxa"/>
          </w:tcPr>
          <w:p>
            <w:pPr>
              <w:pStyle w:val="TableParagraph"/>
              <w:spacing w:before="210"/>
              <w:rPr>
                <w:b/>
                <w:sz w:val="21"/>
              </w:rPr>
            </w:pPr>
            <w:r>
              <w:rPr>
                <w:b/>
                <w:sz w:val="21"/>
              </w:rPr>
              <w:t>要点提醒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line="223" w:lineRule="auto" w:before="49"/>
              <w:ind w:right="96"/>
              <w:rPr>
                <w:sz w:val="21"/>
              </w:rPr>
            </w:pPr>
            <w:r>
              <w:rPr>
                <w:sz w:val="21"/>
              </w:rPr>
              <w:t>需要企业家清晰阐述企业的愿景、使命、价值观以及对企业经营所面临的宏观经济环境，宏观政策环境，国际环境的了解与认识</w:t>
            </w:r>
          </w:p>
        </w:tc>
      </w:tr>
      <w:tr>
        <w:trPr>
          <w:trHeight w:val="528" w:hRule="atLeast"/>
        </w:trPr>
        <w:tc>
          <w:tcPr>
            <w:tcW w:w="1384" w:type="dxa"/>
          </w:tcPr>
          <w:p>
            <w:pPr>
              <w:pStyle w:val="TableParagraph"/>
              <w:spacing w:before="54"/>
              <w:rPr>
                <w:b/>
                <w:sz w:val="21"/>
              </w:rPr>
            </w:pPr>
            <w:r>
              <w:rPr>
                <w:b/>
                <w:sz w:val="21"/>
              </w:rPr>
              <w:t>面试时长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before="54"/>
              <w:rPr>
                <w:sz w:val="21"/>
              </w:rPr>
            </w:pPr>
            <w:r>
              <w:rPr>
                <w:sz w:val="21"/>
              </w:rPr>
              <w:t>20 分钟/人</w:t>
            </w:r>
          </w:p>
        </w:tc>
      </w:tr>
    </w:tbl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852" w:footer="1196" w:top="1480" w:bottom="1380" w:left="1240" w:right="1420"/>
        </w:sectPr>
      </w:pPr>
    </w:p>
    <w:p>
      <w:pPr>
        <w:spacing w:line="427" w:lineRule="exact" w:before="0"/>
        <w:ind w:left="557" w:right="0" w:firstLine="0"/>
        <w:jc w:val="left"/>
        <w:rPr>
          <w:b/>
          <w:sz w:val="24"/>
        </w:rPr>
      </w:pPr>
      <w:r>
        <w:rPr/>
        <w:pict>
          <v:shape style="position:absolute;margin-left:295.320007pt;margin-top:772.100037pt;width:4.6pt;height:9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【导师介绍】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Heading2"/>
        <w:ind w:left="2556"/>
        <w:jc w:val="both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890016</wp:posOffset>
            </wp:positionH>
            <wp:positionV relativeFrom="paragraph">
              <wp:posOffset>23834</wp:posOffset>
            </wp:positionV>
            <wp:extent cx="1150620" cy="139257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39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杜 平</w:t>
      </w:r>
    </w:p>
    <w:p>
      <w:pPr>
        <w:pStyle w:val="BodyText"/>
        <w:spacing w:line="247" w:lineRule="auto" w:before="14"/>
        <w:ind w:left="2556" w:right="178"/>
        <w:jc w:val="both"/>
      </w:pPr>
      <w:r>
        <w:rPr>
          <w:w w:val="95"/>
        </w:rPr>
        <w:t>国家信息中心原常务副主任、党委书记，国家电子政务管理中心主任。   </w:t>
      </w:r>
      <w:r>
        <w:rPr>
          <w:spacing w:val="-5"/>
        </w:rPr>
        <w:t>国家十三五规划专家委员会秘书长，国家战略性新兴产业专家委员会秘</w:t>
      </w:r>
      <w:r>
        <w:rPr>
          <w:spacing w:val="-9"/>
        </w:rPr>
        <w:t>书长。对国家未来经济发展态势以及战略性新兴产业、信息化以及智慧城市，大数据等经济发展的前沿领域均有深入研究和独到见解。</w:t>
      </w:r>
    </w:p>
    <w:p>
      <w:pPr>
        <w:pStyle w:val="BodyText"/>
        <w:rPr>
          <w:sz w:val="28"/>
        </w:rPr>
      </w:pPr>
    </w:p>
    <w:p>
      <w:pPr>
        <w:pStyle w:val="BodyText"/>
        <w:spacing w:before="16"/>
        <w:rPr>
          <w:sz w:val="23"/>
        </w:rPr>
      </w:pPr>
    </w:p>
    <w:p>
      <w:pPr>
        <w:pStyle w:val="Heading2"/>
        <w:spacing w:before="0"/>
        <w:ind w:left="2604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868680</wp:posOffset>
            </wp:positionH>
            <wp:positionV relativeFrom="paragraph">
              <wp:posOffset>89404</wp:posOffset>
            </wp:positionV>
            <wp:extent cx="1219200" cy="145755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5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景晓波</w:t>
      </w:r>
    </w:p>
    <w:p>
      <w:pPr>
        <w:pStyle w:val="BodyText"/>
        <w:spacing w:line="247" w:lineRule="auto" w:before="11"/>
        <w:ind w:left="2604" w:right="310"/>
      </w:pPr>
      <w:r>
        <w:rPr>
          <w:spacing w:val="-4"/>
        </w:rPr>
        <w:t>工业和信息化部运行监测协调局原巡视员。历任机械工业部生产司处</w:t>
      </w:r>
      <w:r>
        <w:rPr>
          <w:spacing w:val="-15"/>
          <w:w w:val="95"/>
        </w:rPr>
        <w:t>长、中国机械工业集团公司经营部副总经理、国家经贸委经济运行局、   </w:t>
      </w:r>
      <w:r>
        <w:rPr>
          <w:spacing w:val="-15"/>
        </w:rPr>
        <w:t>国家发改委经济运行局处长，工业和信息化部运行监测协调局处长、</w:t>
      </w:r>
      <w:r>
        <w:rPr>
          <w:spacing w:val="-12"/>
        </w:rPr>
        <w:t>副巡视员。长期从事机械工业行业管理工作、熟悉工业行业情况，在现岗位负责减轻企业负担、工业要素保障和应急协调管理相关工作。</w:t>
      </w:r>
    </w:p>
    <w:p>
      <w:pPr>
        <w:pStyle w:val="BodyText"/>
        <w:rPr>
          <w:sz w:val="28"/>
        </w:rPr>
      </w:pPr>
    </w:p>
    <w:p>
      <w:pPr>
        <w:pStyle w:val="BodyText"/>
        <w:spacing w:before="17"/>
        <w:rPr>
          <w:sz w:val="18"/>
        </w:rPr>
      </w:pPr>
    </w:p>
    <w:p>
      <w:pPr>
        <w:pStyle w:val="Heading2"/>
        <w:spacing w:before="1"/>
        <w:ind w:left="2619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900683</wp:posOffset>
            </wp:positionH>
            <wp:positionV relativeFrom="paragraph">
              <wp:posOffset>54078</wp:posOffset>
            </wp:positionV>
            <wp:extent cx="1225296" cy="149504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49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肖春泉</w:t>
      </w:r>
    </w:p>
    <w:p>
      <w:pPr>
        <w:pStyle w:val="BodyText"/>
        <w:spacing w:line="247" w:lineRule="auto" w:before="160"/>
        <w:ind w:left="2619" w:right="115"/>
        <w:jc w:val="both"/>
      </w:pPr>
      <w:r>
        <w:rPr>
          <w:w w:val="95"/>
        </w:rPr>
        <w:t>现任中国爆破器材行业协会理事长。工信部运行监测协调局原局长，工   信部安全生产司原司长。先后在北京有色金属研究总院、中国有色金属   工业总公司、国家经济贸易委员会、国家发展和改革委员会、工业和信   息化部工作，历任工程师、处长、副局长、局长。长期从事冶金领域、   </w:t>
      </w:r>
      <w:r>
        <w:rPr/>
        <w:t>矿产资源领域的行业管理工作，以及宏观经济的分析研究工作。</w:t>
      </w: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858011</wp:posOffset>
            </wp:positionH>
            <wp:positionV relativeFrom="paragraph">
              <wp:posOffset>464535</wp:posOffset>
            </wp:positionV>
            <wp:extent cx="1244094" cy="1566862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94" cy="156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6.960007pt;margin-top:24.937605pt;width:329.65pt;height:213.85pt;mso-position-horizontal-relative:page;mso-position-vertical-relative:paragraph;z-index:-251656192;mso-wrap-distance-left:0;mso-wrap-distance-right:0" coordorigin="3739,499" coordsize="6593,4277">
            <v:rect style="position:absolute;left:3739;top:498;width:6593;height:4277" filled="true" fillcolor="#ffffff" stroked="false">
              <v:fill type="solid"/>
            </v:rect>
            <v:shape style="position:absolute;left:3739;top:498;width:6593;height:4277" type="#_x0000_t202" filled="false" stroked="false">
              <v:textbox inset="0,0,0,0">
                <w:txbxContent>
                  <w:p>
                    <w:pPr>
                      <w:spacing w:before="122"/>
                      <w:ind w:left="148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于合军</w:t>
                    </w:r>
                  </w:p>
                  <w:p>
                    <w:pPr>
                      <w:spacing w:line="247" w:lineRule="auto" w:before="11"/>
                      <w:ind w:left="148" w:right="43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国家发展改革委地区经济司原副司长，现中国农业发展银行基础设施</w:t>
                    </w:r>
                    <w:r>
                      <w:rPr>
                        <w:spacing w:val="-2"/>
                        <w:sz w:val="21"/>
                      </w:rPr>
                      <w:t>部副总经理。在发改委工作期间，组织制订西部大开发战略、促进中</w:t>
                    </w:r>
                    <w:r>
                      <w:rPr>
                        <w:spacing w:val="-3"/>
                        <w:sz w:val="21"/>
                      </w:rPr>
                      <w:t>部地区崛起战略相关重大政策、总体规划、重点经济区规划等编制工</w:t>
                    </w:r>
                    <w:r>
                      <w:rPr>
                        <w:spacing w:val="-11"/>
                        <w:w w:val="95"/>
                        <w:sz w:val="21"/>
                      </w:rPr>
                      <w:t>作，组织推进涉及区域方面的重大改革、重大工程、重大事项等工作；   </w:t>
                    </w:r>
                    <w:r>
                      <w:rPr>
                        <w:spacing w:val="-14"/>
                        <w:w w:val="95"/>
                        <w:sz w:val="21"/>
                      </w:rPr>
                      <w:t>具体牵头组织编制推进“一带一路”建设总体规划、共建“一带一路”  </w:t>
                    </w:r>
                    <w:r>
                      <w:rPr>
                        <w:spacing w:val="-12"/>
                        <w:sz w:val="21"/>
                      </w:rPr>
                      <w:t>愿景与行动等重大规划；作为发改委委内起草小组副组长，具体组织编制国民经济与社会发展“十三五”规划纲要部分篇章；对国家宏观政策、区域战略非常熟悉。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footerReference w:type="default" r:id="rId7"/>
          <w:pgSz w:w="11910" w:h="16840"/>
          <w:pgMar w:footer="0" w:header="852" w:top="1480" w:bottom="280" w:left="124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2"/>
        <w:ind w:left="2600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902208</wp:posOffset>
            </wp:positionH>
            <wp:positionV relativeFrom="paragraph">
              <wp:posOffset>29567</wp:posOffset>
            </wp:positionV>
            <wp:extent cx="1191767" cy="1580388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767" cy="158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何如意</w:t>
      </w:r>
    </w:p>
    <w:p>
      <w:pPr>
        <w:pStyle w:val="BodyText"/>
        <w:spacing w:line="247" w:lineRule="auto" w:before="14"/>
        <w:ind w:left="2600" w:right="418"/>
      </w:pPr>
      <w:r>
        <w:rPr>
          <w:spacing w:val="-4"/>
        </w:rPr>
        <w:t>国家药品审评中心前首席科学家、美国 </w:t>
      </w:r>
      <w:r>
        <w:rPr/>
        <w:t>FDA</w:t>
      </w:r>
      <w:r>
        <w:rPr>
          <w:spacing w:val="-8"/>
        </w:rPr>
        <w:t> 前资深新药审批官、中</w:t>
      </w:r>
      <w:r>
        <w:rPr>
          <w:spacing w:val="-10"/>
        </w:rPr>
        <w:t>国国家政府特聘专家。</w:t>
      </w:r>
      <w:r>
        <w:rPr/>
        <w:t>2018</w:t>
      </w:r>
      <w:r>
        <w:rPr>
          <w:spacing w:val="-8"/>
        </w:rPr>
        <w:t> 年 </w:t>
      </w:r>
      <w:r>
        <w:rPr/>
        <w:t>10</w:t>
      </w:r>
      <w:r>
        <w:rPr>
          <w:spacing w:val="-4"/>
        </w:rPr>
        <w:t> 月加入了国投创新担任医疗健康</w:t>
      </w:r>
      <w:r>
        <w:rPr>
          <w:spacing w:val="-16"/>
        </w:rPr>
        <w:t>首席科学家。</w:t>
      </w:r>
      <w:r>
        <w:rPr/>
        <w:t>2016</w:t>
      </w:r>
      <w:r>
        <w:rPr>
          <w:spacing w:val="-11"/>
        </w:rPr>
        <w:t> 年 </w:t>
      </w:r>
      <w:r>
        <w:rPr/>
        <w:t>7</w:t>
      </w:r>
      <w:r>
        <w:rPr>
          <w:spacing w:val="-9"/>
        </w:rPr>
        <w:t> 月加入原中国食品药品监督管理局</w:t>
      </w:r>
      <w:r>
        <w:rPr/>
        <w:t>（CFDA） </w:t>
      </w:r>
      <w:r>
        <w:rPr>
          <w:spacing w:val="-18"/>
          <w:w w:val="99"/>
        </w:rPr>
        <w:t>药品审评中心</w:t>
      </w:r>
      <w:r>
        <w:rPr>
          <w:spacing w:val="-1"/>
          <w:w w:val="99"/>
        </w:rPr>
        <w:t>（CD</w:t>
      </w:r>
      <w:r>
        <w:rPr>
          <w:spacing w:val="2"/>
          <w:w w:val="99"/>
        </w:rPr>
        <w:t>E</w:t>
      </w:r>
      <w:r>
        <w:rPr>
          <w:spacing w:val="-104"/>
          <w:w w:val="99"/>
        </w:rPr>
        <w:t>），</w:t>
      </w:r>
      <w:r>
        <w:rPr>
          <w:spacing w:val="-1"/>
          <w:w w:val="99"/>
        </w:rPr>
        <w:t>作为中国</w:t>
      </w:r>
      <w:r>
        <w:rPr>
          <w:spacing w:val="-1"/>
        </w:rPr>
        <w:t> </w:t>
      </w:r>
      <w:r>
        <w:rPr>
          <w:spacing w:val="-1"/>
          <w:w w:val="99"/>
        </w:rPr>
        <w:t>CFD</w:t>
      </w:r>
      <w:r>
        <w:rPr>
          <w:w w:val="99"/>
        </w:rPr>
        <w:t>A</w:t>
      </w:r>
      <w:r>
        <w:rPr/>
        <w:t> </w:t>
      </w:r>
      <w:r>
        <w:rPr>
          <w:spacing w:val="-1"/>
          <w:w w:val="99"/>
        </w:rPr>
        <w:t>首位从海外引入的高级人才，</w:t>
      </w:r>
      <w:r>
        <w:rPr>
          <w:spacing w:val="-1"/>
        </w:rPr>
        <w:t>担任首席科学家。</w:t>
      </w:r>
    </w:p>
    <w:p>
      <w:pPr>
        <w:pStyle w:val="BodyText"/>
        <w:rPr>
          <w:sz w:val="28"/>
        </w:rPr>
      </w:pPr>
    </w:p>
    <w:p>
      <w:pPr>
        <w:pStyle w:val="BodyText"/>
        <w:spacing w:before="13"/>
        <w:rPr>
          <w:sz w:val="32"/>
        </w:rPr>
      </w:pPr>
    </w:p>
    <w:p>
      <w:pPr>
        <w:pStyle w:val="Heading2"/>
        <w:spacing w:line="374" w:lineRule="exact" w:before="0"/>
        <w:ind w:left="2595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926591</wp:posOffset>
            </wp:positionH>
            <wp:positionV relativeFrom="paragraph">
              <wp:posOffset>141628</wp:posOffset>
            </wp:positionV>
            <wp:extent cx="1202436" cy="1533351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1533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单俊葆</w:t>
      </w:r>
    </w:p>
    <w:p>
      <w:pPr>
        <w:pStyle w:val="BodyText"/>
        <w:spacing w:line="223" w:lineRule="auto" w:before="6"/>
        <w:ind w:left="2595" w:right="449"/>
        <w:jc w:val="both"/>
      </w:pPr>
      <w:r>
        <w:rPr>
          <w:spacing w:val="-8"/>
        </w:rPr>
        <w:t>中金资本联席总裁、中金智德股权投资管理有限公司总经理、国药中</w:t>
      </w:r>
      <w:r>
        <w:rPr>
          <w:spacing w:val="-10"/>
        </w:rPr>
        <w:t>金</w:t>
      </w:r>
      <w:r>
        <w:rPr/>
        <w:t>（上海</w:t>
      </w:r>
      <w:r>
        <w:rPr>
          <w:spacing w:val="-10"/>
        </w:rPr>
        <w:t>）</w:t>
      </w:r>
      <w:r>
        <w:rPr>
          <w:spacing w:val="-2"/>
        </w:rPr>
        <w:t>医疗健康投资管理有限公司总经理。拥有 </w:t>
      </w:r>
      <w:r>
        <w:rPr/>
        <w:t>18</w:t>
      </w:r>
      <w:r>
        <w:rPr>
          <w:spacing w:val="-4"/>
        </w:rPr>
        <w:t> 年以上私募</w:t>
      </w:r>
      <w:r>
        <w:rPr>
          <w:spacing w:val="-9"/>
          <w:w w:val="95"/>
        </w:rPr>
        <w:t>股权投资和投资银行工作经历。在直接投资领域，为医疗健康、人工  </w:t>
      </w:r>
      <w:r>
        <w:rPr>
          <w:spacing w:val="-16"/>
        </w:rPr>
        <w:t>智能、新零售、新能源、 新材料、先进制造等行业主导投资超过 </w:t>
      </w:r>
      <w:r>
        <w:rPr/>
        <w:t>100 </w:t>
      </w:r>
      <w:r>
        <w:rPr>
          <w:spacing w:val="-11"/>
        </w:rPr>
        <w:t>亿元。具有丰富的证监系统管理经验，曾在中国证监会上海证监局上市公司处工作。</w:t>
      </w:r>
    </w:p>
    <w:p>
      <w:pPr>
        <w:spacing w:after="0" w:line="223" w:lineRule="auto"/>
        <w:jc w:val="both"/>
        <w:sectPr>
          <w:footerReference w:type="default" r:id="rId12"/>
          <w:pgSz w:w="11910" w:h="16840"/>
          <w:pgMar w:footer="1196" w:header="852" w:top="1480" w:bottom="1380" w:left="1240" w:right="1420"/>
          <w:pgNumType w:start="3"/>
        </w:sectPr>
      </w:pPr>
    </w:p>
    <w:p>
      <w:pPr>
        <w:pStyle w:val="BodyText"/>
        <w:spacing w:before="12"/>
        <w:rPr>
          <w:sz w:val="16"/>
        </w:rPr>
      </w:pPr>
    </w:p>
    <w:p>
      <w:pPr>
        <w:pStyle w:val="Heading1"/>
        <w:spacing w:before="37"/>
      </w:pPr>
      <w:r>
        <w:rPr/>
        <w:t>【路线地图】</w:t>
      </w:r>
    </w:p>
    <w:p>
      <w:pPr>
        <w:pStyle w:val="BodyText"/>
        <w:spacing w:before="13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1159763</wp:posOffset>
            </wp:positionH>
            <wp:positionV relativeFrom="paragraph">
              <wp:posOffset>302574</wp:posOffset>
            </wp:positionV>
            <wp:extent cx="5256609" cy="2007870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609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22"/>
        </w:rPr>
      </w:pPr>
    </w:p>
    <w:p>
      <w:pPr>
        <w:pStyle w:val="Heading2"/>
        <w:spacing w:line="374" w:lineRule="exact"/>
      </w:pPr>
      <w:r>
        <w:rPr/>
        <w:t>行车路线：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360" w:lineRule="exact" w:before="0" w:after="0"/>
        <w:ind w:left="1098" w:right="0" w:hanging="542"/>
        <w:jc w:val="left"/>
        <w:rPr>
          <w:sz w:val="21"/>
        </w:rPr>
      </w:pPr>
      <w:r>
        <w:rPr>
          <w:spacing w:val="-2"/>
          <w:sz w:val="21"/>
        </w:rPr>
        <w:t>自驾：导航搜索“白云路 </w:t>
      </w:r>
      <w:r>
        <w:rPr>
          <w:sz w:val="21"/>
        </w:rPr>
        <w:t>1</w:t>
      </w:r>
      <w:r>
        <w:rPr>
          <w:spacing w:val="-4"/>
          <w:sz w:val="21"/>
        </w:rPr>
        <w:t> 号”即可，紧邻首都博物馆南侧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374" w:lineRule="exact" w:before="0" w:after="0"/>
        <w:ind w:left="1098" w:right="0" w:hanging="542"/>
        <w:jc w:val="left"/>
        <w:rPr>
          <w:sz w:val="21"/>
        </w:rPr>
      </w:pPr>
      <w:r>
        <w:rPr>
          <w:spacing w:val="-2"/>
          <w:sz w:val="21"/>
        </w:rPr>
        <w:t>地铁：北京地铁 </w:t>
      </w:r>
      <w:r>
        <w:rPr>
          <w:sz w:val="21"/>
        </w:rPr>
        <w:t>1</w:t>
      </w:r>
      <w:r>
        <w:rPr>
          <w:spacing w:val="-5"/>
          <w:sz w:val="21"/>
        </w:rPr>
        <w:t> 号线木樨地站 </w:t>
      </w:r>
      <w:r>
        <w:rPr>
          <w:sz w:val="21"/>
        </w:rPr>
        <w:t>C1</w:t>
      </w:r>
      <w:r>
        <w:rPr>
          <w:spacing w:val="-5"/>
          <w:sz w:val="21"/>
        </w:rPr>
        <w:t> 口出，步行 </w:t>
      </w:r>
      <w:r>
        <w:rPr>
          <w:sz w:val="21"/>
        </w:rPr>
        <w:t>800</w:t>
      </w:r>
      <w:r>
        <w:rPr>
          <w:spacing w:val="-3"/>
          <w:sz w:val="21"/>
        </w:rPr>
        <w:t> 米左右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5"/>
      </w:pPr>
    </w:p>
    <w:p>
      <w:pPr>
        <w:pStyle w:val="BodyText"/>
        <w:spacing w:line="223" w:lineRule="auto"/>
        <w:ind w:left="6017" w:right="377" w:hanging="980"/>
      </w:pPr>
      <w:r>
        <w:rPr>
          <w:w w:val="95"/>
        </w:rPr>
        <w:t>国合·耶鲁全球领导力培养计划项目办公室</w:t>
      </w:r>
      <w:r>
        <w:rPr/>
        <w:t>2019 年 11 月 29 日</w:t>
      </w:r>
    </w:p>
    <w:sectPr>
      <w:pgSz w:w="11910" w:h="16840"/>
      <w:pgMar w:header="852" w:footer="1196" w:top="1480" w:bottom="1380" w:left="12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320007pt;margin-top:771.100037pt;width:6.6pt;height:11pt;mso-position-horizontal-relative:page;mso-position-vertical-relative:page;z-index:-2518906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320007pt;margin-top:771.100037pt;width:8.6pt;height:11pt;mso-position-horizontal-relative:page;mso-position-vertical-relative:page;z-index:-25188966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23744">
          <wp:simplePos x="0" y="0"/>
          <wp:positionH relativeFrom="page">
            <wp:posOffset>1141475</wp:posOffset>
          </wp:positionH>
          <wp:positionV relativeFrom="page">
            <wp:posOffset>541020</wp:posOffset>
          </wp:positionV>
          <wp:extent cx="2513076" cy="38557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3076" cy="385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1891712" from="89.849998pt,74.260025pt" to="505.449998pt,74.260025pt" stroked="true" strokeweight=".72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（%1）"/>
      <w:lvlJc w:val="left"/>
      <w:pPr>
        <w:ind w:left="1098" w:hanging="542"/>
        <w:jc w:val="left"/>
      </w:pPr>
      <w:rPr>
        <w:rFonts w:hint="default" w:ascii="微软雅黑" w:hAnsi="微软雅黑" w:eastAsia="微软雅黑" w:cs="微软雅黑"/>
        <w:spacing w:val="-1"/>
        <w:w w:val="99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914" w:hanging="54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729" w:hanging="54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43" w:hanging="54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58" w:hanging="54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173" w:hanging="54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987" w:hanging="54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02" w:hanging="54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16" w:hanging="54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557"/>
      <w:outlineLvl w:val="1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44"/>
      <w:ind w:left="557"/>
      <w:outlineLvl w:val="2"/>
    </w:pPr>
    <w:rPr>
      <w:rFonts w:ascii="微软雅黑" w:hAnsi="微软雅黑" w:eastAsia="微软雅黑" w:cs="微软雅黑"/>
      <w:b/>
      <w:bCs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line="360" w:lineRule="exact"/>
      <w:ind w:left="1098" w:hanging="542"/>
    </w:pPr>
    <w:rPr>
      <w:rFonts w:ascii="微软雅黑" w:hAnsi="微软雅黑" w:eastAsia="微软雅黑" w:cs="微软雅黑"/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8"/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footer" Target="footer3.xm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ghzy2018</dc:creator>
  <dcterms:created xsi:type="dcterms:W3CDTF">2019-11-29T02:52:25Z</dcterms:created>
  <dcterms:modified xsi:type="dcterms:W3CDTF">2019-11-29T02:52:25Z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2019-11-29T00:00:00Z</vt:filetime>
  </property>
</Properties>
</file>