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anchor distT="0" distB="0" distL="114300" distR="114300" simplePos="0" relativeHeight="251658240" behindDoc="1" locked="0" layoutInCell="1" allowOverlap="1">
            <wp:simplePos x="0" y="0"/>
            <wp:positionH relativeFrom="page">
              <wp:align>left</wp:align>
            </wp:positionH>
            <wp:positionV relativeFrom="paragraph">
              <wp:posOffset>-1074420</wp:posOffset>
            </wp:positionV>
            <wp:extent cx="7567295" cy="109562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567295" cy="10956197"/>
                    </a:xfrm>
                    <a:prstGeom prst="rect">
                      <a:avLst/>
                    </a:prstGeom>
                    <a:noFill/>
                    <a:ln>
                      <a:noFill/>
                    </a:ln>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59264" behindDoc="1" locked="0" layoutInCell="1" allowOverlap="1">
            <wp:simplePos x="0" y="0"/>
            <wp:positionH relativeFrom="page">
              <wp:posOffset>-95250</wp:posOffset>
            </wp:positionH>
            <wp:positionV relativeFrom="paragraph">
              <wp:posOffset>-647700</wp:posOffset>
            </wp:positionV>
            <wp:extent cx="7671435" cy="10659745"/>
            <wp:effectExtent l="0" t="0" r="6350"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71262" cy="10659745"/>
                    </a:xfrm>
                    <a:prstGeom prst="rect">
                      <a:avLst/>
                    </a:prstGeom>
                    <a:noFill/>
                    <a:ln>
                      <a:noFill/>
                    </a:ln>
                  </pic:spPr>
                </pic:pic>
              </a:graphicData>
            </a:graphic>
          </wp:anchor>
        </w:drawing>
      </w:r>
    </w:p>
    <w:p/>
    <w:p/>
    <w:p/>
    <w:p/>
    <w:p/>
    <w:p>
      <w:pPr>
        <w:pStyle w:val="9"/>
        <w:numPr>
          <w:ilvl w:val="0"/>
          <w:numId w:val="1"/>
        </w:numPr>
        <w:ind w:firstLineChars="0"/>
        <w:rPr>
          <w:rFonts w:ascii="方正综艺简体" w:eastAsia="方正综艺简体"/>
          <w:sz w:val="36"/>
          <w:szCs w:val="36"/>
        </w:rPr>
      </w:pPr>
      <w:r>
        <w:rPr>
          <w:rFonts w:hint="eastAsia" w:ascii="方正综艺简体" w:eastAsia="方正综艺简体"/>
          <w:color w:val="2F5597" w:themeColor="accent1" w:themeShade="BF"/>
          <w:sz w:val="36"/>
          <w:szCs w:val="36"/>
        </w:rPr>
        <w:t>项目简介</w:t>
      </w:r>
      <w:r>
        <w:rPr>
          <w:rFonts w:hint="eastAsia" w:ascii="方正综艺简体" w:eastAsia="方正综艺简体"/>
          <w:color w:val="C00000"/>
          <w:sz w:val="36"/>
          <w:szCs w:val="36"/>
        </w:rPr>
        <w:t>/</w:t>
      </w:r>
    </w:p>
    <w:p/>
    <w:p/>
    <w:p>
      <w:pPr>
        <w:spacing w:line="360" w:lineRule="auto"/>
        <w:ind w:left="2125" w:leftChars="1012" w:firstLine="420" w:firstLineChars="200"/>
      </w:pPr>
      <w:r>
        <w:t>博士后（Postdoctoral），是指在获得博士学位后，在高等院校或研究机构从事学科研究的工作职务，一般是在博士后流动站或博士</w:t>
      </w:r>
    </w:p>
    <w:p>
      <w:pPr>
        <w:spacing w:line="360" w:lineRule="auto"/>
        <w:ind w:left="2125" w:leftChars="1012" w:firstLine="420" w:firstLineChars="200"/>
      </w:pPr>
      <w:r>
        <w:t>后科研工作站进行研究的人员。需要注意的是，博士后不是学位，</w:t>
      </w:r>
    </w:p>
    <w:p>
      <w:pPr>
        <w:spacing w:line="360" w:lineRule="auto"/>
        <w:ind w:left="2551" w:leftChars="1215" w:firstLine="420" w:firstLineChars="200"/>
      </w:pPr>
      <w:r>
        <w:t>也不是学历，而表示的是一段具有临时性质的科研工作经</w:t>
      </w:r>
    </w:p>
    <w:p>
      <w:pPr>
        <w:spacing w:line="360" w:lineRule="auto"/>
        <w:ind w:left="3402" w:leftChars="1620"/>
      </w:pPr>
      <w:r>
        <w:t>历，通常作为更高级别研究工作的过渡性职位。</w:t>
      </w:r>
    </w:p>
    <w:p>
      <w:pPr>
        <w:spacing w:line="360" w:lineRule="auto"/>
        <w:ind w:left="2976" w:leftChars="1417" w:firstLine="1"/>
      </w:pPr>
      <w:r>
        <w:t xml:space="preserve">      在中国，取得博士学位是成为博士后的必要条件，但</w:t>
      </w:r>
    </w:p>
    <w:p>
      <w:pPr>
        <w:spacing w:line="360" w:lineRule="auto"/>
        <w:ind w:left="4110" w:leftChars="1957" w:firstLine="1"/>
      </w:pPr>
      <w:r>
        <w:t>在国外也有一些不具有博士学位，但却是以博</w:t>
      </w:r>
    </w:p>
    <w:p>
      <w:pPr>
        <w:spacing w:line="360" w:lineRule="auto"/>
        <w:ind w:left="4536" w:leftChars="2160" w:firstLine="1"/>
      </w:pPr>
      <w:r>
        <w:t>士后身份开展工作的研究人员，所以博士后是科研工作经历。一般博士后的任期时间不长，被认为是一种从事科研的过渡性</w:t>
      </w:r>
    </w:p>
    <w:p>
      <w:pPr>
        <w:spacing w:line="360" w:lineRule="auto"/>
        <w:ind w:left="3969" w:leftChars="1890" w:firstLine="1"/>
      </w:pPr>
      <w:r>
        <w:t>安排。国外高校一般对博士后没有统一的安排，</w:t>
      </w:r>
    </w:p>
    <w:p>
      <w:pPr>
        <w:spacing w:line="360" w:lineRule="auto"/>
        <w:ind w:left="3543" w:leftChars="1687" w:firstLine="1"/>
      </w:pPr>
      <w:r>
        <w:t>经费来源、时间长短均比较灵活。</w:t>
      </w:r>
    </w:p>
    <w:p/>
    <w:p>
      <w:pPr>
        <w:spacing w:line="60" w:lineRule="auto"/>
        <w:rPr>
          <w:rFonts w:ascii="黑体" w:hAnsi="黑体" w:eastAsia="黑体"/>
          <w:b/>
          <w:bCs/>
          <w:sz w:val="24"/>
          <w:szCs w:val="24"/>
        </w:rPr>
      </w:pPr>
      <w:r>
        <w:rPr>
          <w:rFonts w:hint="eastAsia"/>
        </w:rPr>
        <w:t xml:space="preserve"> </w:t>
      </w:r>
      <w:r>
        <w:t xml:space="preserve">                             </w:t>
      </w:r>
      <w:r>
        <w:rPr>
          <w:rFonts w:hint="eastAsia" w:ascii="黑体" w:hAnsi="黑体" w:eastAsia="黑体"/>
          <w:b/>
          <w:bCs/>
          <w:color w:val="2F5597" w:themeColor="accent1" w:themeShade="BF"/>
          <w:sz w:val="24"/>
          <w:szCs w:val="24"/>
        </w:rPr>
        <w:t>海外经历——本土学者获得海外经历的最佳途径</w:t>
      </w:r>
    </w:p>
    <w:p>
      <w:pPr>
        <w:spacing w:line="60" w:lineRule="auto"/>
      </w:pPr>
    </w:p>
    <w:p>
      <w:pPr>
        <w:spacing w:line="60" w:lineRule="auto"/>
      </w:pPr>
    </w:p>
    <w:p>
      <w:pPr>
        <w:spacing w:line="60" w:lineRule="auto"/>
      </w:pPr>
    </w:p>
    <w:p>
      <w:pPr>
        <w:spacing w:line="60" w:lineRule="auto"/>
      </w:pPr>
    </w:p>
    <w:p>
      <w:pPr>
        <w:spacing w:line="60" w:lineRule="auto"/>
      </w:pPr>
      <w:r>
        <w:rPr>
          <w:rFonts w:hint="eastAsia"/>
        </w:rPr>
        <w:t xml:space="preserve"> </w:t>
      </w:r>
      <w:r>
        <w:t xml:space="preserve">                             </w:t>
      </w:r>
      <w:r>
        <w:rPr>
          <w:rFonts w:hint="eastAsia" w:ascii="黑体" w:hAnsi="黑体" w:eastAsia="黑体"/>
          <w:b/>
          <w:bCs/>
          <w:color w:val="2F5597" w:themeColor="accent1" w:themeShade="BF"/>
          <w:sz w:val="24"/>
          <w:szCs w:val="24"/>
        </w:rPr>
        <w:t>基金申请——博士后身份更有利于申请各级基金</w:t>
      </w:r>
    </w:p>
    <w:p>
      <w:pPr>
        <w:spacing w:line="60" w:lineRule="auto"/>
      </w:pPr>
    </w:p>
    <w:p>
      <w:pPr>
        <w:spacing w:line="60" w:lineRule="auto"/>
      </w:pPr>
    </w:p>
    <w:p>
      <w:pPr>
        <w:spacing w:line="60" w:lineRule="auto"/>
      </w:pPr>
    </w:p>
    <w:p>
      <w:pPr>
        <w:spacing w:line="60" w:lineRule="auto"/>
      </w:pPr>
    </w:p>
    <w:p>
      <w:pPr>
        <w:spacing w:line="60" w:lineRule="auto"/>
      </w:pPr>
      <w:r>
        <w:rPr>
          <w:rFonts w:hint="eastAsia"/>
        </w:rPr>
        <w:t xml:space="preserve"> </w:t>
      </w:r>
      <w:r>
        <w:t xml:space="preserve">                             </w:t>
      </w:r>
      <w:r>
        <w:rPr>
          <w:rFonts w:hint="eastAsia" w:ascii="黑体" w:hAnsi="黑体" w:eastAsia="黑体"/>
          <w:b/>
          <w:bCs/>
          <w:color w:val="2F5597" w:themeColor="accent1" w:themeShade="BF"/>
          <w:sz w:val="24"/>
          <w:szCs w:val="24"/>
        </w:rPr>
        <w:t>二次抉择——出站时可进行职业生涯的二次选择</w:t>
      </w:r>
    </w:p>
    <w:p>
      <w:pPr>
        <w:spacing w:line="60" w:lineRule="auto"/>
      </w:pPr>
    </w:p>
    <w:p>
      <w:pPr>
        <w:spacing w:line="360" w:lineRule="auto"/>
        <w:ind w:left="283" w:leftChars="135" w:firstLine="420" w:firstLineChars="200"/>
      </w:pPr>
      <w:r>
        <w:rPr>
          <w:rFonts w:hint="eastAsia"/>
        </w:rPr>
        <w:t>作为一种科研工作岗位，博士后的经历也可以让参与者获得更多的社会资源，每一个设站机构都将成为参与者今后工作和生活中的一部分，为事业的发展提供有力的支持。</w:t>
      </w:r>
    </w:p>
    <w:p>
      <w:r>
        <w:drawing>
          <wp:anchor distT="0" distB="0" distL="114300" distR="114300" simplePos="0" relativeHeight="251665408" behindDoc="1" locked="0" layoutInCell="1" allowOverlap="1">
            <wp:simplePos x="0" y="0"/>
            <wp:positionH relativeFrom="page">
              <wp:align>left</wp:align>
            </wp:positionH>
            <wp:positionV relativeFrom="paragraph">
              <wp:posOffset>-918845</wp:posOffset>
            </wp:positionV>
            <wp:extent cx="7543800" cy="10721340"/>
            <wp:effectExtent l="0" t="0" r="0" b="381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3800" cy="10721340"/>
                    </a:xfrm>
                    <a:prstGeom prst="rect">
                      <a:avLst/>
                    </a:prstGeom>
                    <a:noFill/>
                    <a:ln>
                      <a:noFill/>
                    </a:ln>
                  </pic:spPr>
                </pic:pic>
              </a:graphicData>
            </a:graphic>
          </wp:anchor>
        </w:drawing>
      </w:r>
    </w:p>
    <w:p/>
    <w:p/>
    <w:p/>
    <w:p>
      <w:pPr>
        <w:rPr>
          <w:rFonts w:hint="eastAsia"/>
        </w:rPr>
      </w:pPr>
    </w:p>
    <w:p>
      <w:pPr>
        <w:rPr>
          <w:rFonts w:ascii="方正综艺简体" w:hAnsi="微软雅黑" w:eastAsia="方正综艺简体"/>
          <w:sz w:val="28"/>
          <w:szCs w:val="28"/>
        </w:rPr>
      </w:pPr>
      <w:r>
        <w:rPr>
          <w:rFonts w:hint="eastAsia" w:ascii="方正综艺简体" w:hAnsi="微软雅黑" w:eastAsia="方正综艺简体"/>
          <w:color w:val="FFFFFF" w:themeColor="background1"/>
          <w:sz w:val="28"/>
          <w:szCs w:val="28"/>
          <w14:textFill>
            <w14:solidFill>
              <w14:schemeClr w14:val="bg1"/>
            </w14:solidFill>
          </w14:textFill>
        </w:rPr>
        <w:t>博士后怎样选择学校？</w:t>
      </w:r>
    </w:p>
    <w:p>
      <w:pPr>
        <w:spacing w:line="360" w:lineRule="auto"/>
        <w:ind w:right="1926" w:rightChars="917" w:firstLine="420" w:firstLineChars="200"/>
      </w:pPr>
      <w:r>
        <w:rPr>
          <w:rFonts w:hint="eastAsia"/>
        </w:rPr>
        <w:t>去哪里做博士后研究是非常重要，一般都会根据本人的专业方向选择比自己当前高一到两个水准的程度选择科研机构。因此博士后岗位申请者可选择的机构更多的依赖于自己当前水平。但是面对复杂的机构资源和申请人的未来需求匹配，具体的学科方向选择就是一个近乎于艺术的过程，需要申请人和经验丰富的指导老师多次交流碰撞才能确定最佳的匹配方案。</w:t>
      </w:r>
    </w:p>
    <w:p>
      <w:pPr>
        <w:spacing w:line="276" w:lineRule="auto"/>
      </w:pPr>
    </w:p>
    <w:p>
      <w:pPr>
        <w:spacing w:line="276" w:lineRule="auto"/>
      </w:pPr>
    </w:p>
    <w:p>
      <w:pPr>
        <w:spacing w:line="276" w:lineRule="auto"/>
      </w:pPr>
    </w:p>
    <w:p/>
    <w:p>
      <w:pPr>
        <w:rPr>
          <w:rFonts w:hint="eastAsia"/>
        </w:rPr>
      </w:pPr>
    </w:p>
    <w:p/>
    <w:p>
      <w:r>
        <w:rPr>
          <w:rFonts w:hint="eastAsia" w:ascii="方正综艺简体" w:hAnsi="微软雅黑" w:eastAsia="方正综艺简体"/>
          <w:color w:val="FFFFFF" w:themeColor="background1"/>
          <w:sz w:val="28"/>
          <w:szCs w:val="28"/>
          <w14:textFill>
            <w14:solidFill>
              <w14:schemeClr w14:val="bg1"/>
            </w14:solidFill>
          </w14:textFill>
        </w:rPr>
        <w:t>博士后怎样选择学校？</w:t>
      </w:r>
    </w:p>
    <w:p>
      <w:pPr>
        <w:spacing w:line="360" w:lineRule="auto"/>
        <w:ind w:firstLine="420" w:firstLineChars="200"/>
      </w:pPr>
      <w:r>
        <w:rPr>
          <w:rFonts w:hint="eastAsia"/>
        </w:rPr>
        <w:t>人文、艺术和社会科学类的访问学者接收机构相对较为固定，选择的原则是根据自己的研究方向、兴趣以及研究机构的权威性、学界影响力等诸多因素来综合考虑。</w:t>
      </w:r>
    </w:p>
    <w:p>
      <w:pPr>
        <w:spacing w:line="360" w:lineRule="auto"/>
        <w:ind w:firstLine="420" w:firstLineChars="200"/>
      </w:pPr>
      <w:r>
        <w:t>绝大部分社会科学与文化艺术类的博士后研究人员会根据自己博士阶段的研究主题或者当前研究所需的资料来源来确定目标机构。</w:t>
      </w:r>
    </w:p>
    <w:p>
      <w:pPr>
        <w:spacing w:line="360" w:lineRule="auto"/>
        <w:ind w:firstLine="420" w:firstLineChars="200"/>
      </w:pPr>
      <w:r>
        <w:t>理工科及医学分类可以选择的合作机构数量较多，一般根据申请人的既往研究成果和自己设定的研究目标来确定计划前往的科研机构。根据项目的不同和所去院所、实验室的资金状况，可能会有资助，也可能需要申请人自行承担生活费用和社保费用，具体需要根据申请条件来确定。</w:t>
      </w:r>
    </w:p>
    <w:p>
      <w:pPr>
        <w:spacing w:line="360" w:lineRule="auto"/>
        <w:ind w:firstLine="420" w:firstLineChars="200"/>
      </w:pPr>
      <w:r>
        <w:t xml:space="preserve">一般来说，在理工或者医学项目的申请过程中，建议选择设备和资金都比较充裕的企业实验室、大学等科研机构，成果较有保障。 </w:t>
      </w:r>
    </w:p>
    <w:p>
      <w:pPr>
        <w:spacing w:line="360" w:lineRule="auto"/>
        <w:ind w:firstLine="420" w:firstLineChars="200"/>
      </w:pPr>
      <w:r>
        <w:t xml:space="preserve"> 此外，需要注意的是，理工类博士后岗位对时间很敏感，因此具体的学校或者实验室岗位需要根据申请人的具体情况以及提出申请时间段的招聘机构情况来确定。</w:t>
      </w:r>
    </w:p>
    <w:p>
      <w:r>
        <w:drawing>
          <wp:anchor distT="0" distB="0" distL="114300" distR="114300" simplePos="0" relativeHeight="251661312" behindDoc="1" locked="0" layoutInCell="1" allowOverlap="1">
            <wp:simplePos x="0" y="0"/>
            <wp:positionH relativeFrom="page">
              <wp:posOffset>-55245</wp:posOffset>
            </wp:positionH>
            <wp:positionV relativeFrom="paragraph">
              <wp:posOffset>-1266825</wp:posOffset>
            </wp:positionV>
            <wp:extent cx="7625080" cy="110299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625080" cy="11029950"/>
                    </a:xfrm>
                    <a:prstGeom prst="rect">
                      <a:avLst/>
                    </a:prstGeom>
                    <a:noFill/>
                    <a:ln>
                      <a:noFill/>
                    </a:ln>
                  </pic:spPr>
                </pic:pic>
              </a:graphicData>
            </a:graphic>
          </wp:anchor>
        </w:drawing>
      </w:r>
    </w:p>
    <w:p/>
    <w:p>
      <w:r>
        <w:drawing>
          <wp:anchor distT="0" distB="0" distL="114300" distR="114300" simplePos="0" relativeHeight="251666432" behindDoc="1" locked="0" layoutInCell="1" allowOverlap="1">
            <wp:simplePos x="0" y="0"/>
            <wp:positionH relativeFrom="page">
              <wp:align>left</wp:align>
            </wp:positionH>
            <wp:positionV relativeFrom="paragraph">
              <wp:posOffset>-998855</wp:posOffset>
            </wp:positionV>
            <wp:extent cx="7584440" cy="10718165"/>
            <wp:effectExtent l="0" t="0" r="0" b="762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584440" cy="10717967"/>
                    </a:xfrm>
                    <a:prstGeom prst="rect">
                      <a:avLst/>
                    </a:prstGeom>
                    <a:noFill/>
                    <a:ln>
                      <a:noFill/>
                    </a:ln>
                  </pic:spPr>
                </pic:pic>
              </a:graphicData>
            </a:graphic>
          </wp:anchor>
        </w:drawing>
      </w:r>
    </w:p>
    <w:p>
      <w:pPr>
        <w:rPr>
          <w:rFonts w:hint="eastAsia"/>
          <w:szCs w:val="21"/>
        </w:rPr>
      </w:pPr>
      <w:r>
        <w:rPr>
          <w:rFonts w:hint="eastAsia" w:ascii="方正综艺简体" w:eastAsia="方正综艺简体"/>
          <w:color w:val="FFFFFF" w:themeColor="background1"/>
          <w:szCs w:val="21"/>
          <w14:textFill>
            <w14:solidFill>
              <w14:schemeClr w14:val="bg1"/>
            </w14:solidFill>
          </w14:textFill>
        </w:rPr>
        <w:t>理</w:t>
      </w:r>
    </w:p>
    <w:p>
      <w:pPr>
        <w:spacing w:line="360" w:lineRule="auto"/>
        <w:ind w:left="424" w:leftChars="202" w:firstLine="420" w:firstLineChars="200"/>
        <w:rPr>
          <w:szCs w:val="21"/>
        </w:rPr>
      </w:pPr>
    </w:p>
    <w:p>
      <w:pPr>
        <w:spacing w:line="360" w:lineRule="auto"/>
        <w:rPr>
          <w:rFonts w:hint="eastAsia" w:ascii="方正综艺简体" w:hAnsi="微软雅黑" w:eastAsia="方正综艺简体"/>
          <w:color w:val="FFFFFF" w:themeColor="background1"/>
          <w:sz w:val="28"/>
          <w:szCs w:val="28"/>
          <w14:textFill>
            <w14:solidFill>
              <w14:schemeClr w14:val="bg1"/>
            </w14:solidFill>
          </w14:textFill>
        </w:rPr>
      </w:pPr>
      <w:r>
        <w:rPr>
          <w:rFonts w:hint="eastAsia" w:ascii="方正综艺简体" w:hAnsi="微软雅黑" w:eastAsia="方正综艺简体"/>
          <w:color w:val="FFFFFF" w:themeColor="background1"/>
          <w:sz w:val="28"/>
          <w:szCs w:val="28"/>
          <w14:textFill>
            <w14:solidFill>
              <w14:schemeClr w14:val="bg1"/>
            </w14:solidFill>
          </w14:textFill>
        </w:rPr>
        <w:t>博士后申请的合作学校</w:t>
      </w:r>
    </w:p>
    <w:tbl>
      <w:tblPr>
        <w:tblStyle w:val="5"/>
        <w:tblW w:w="82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846"/>
        <w:gridCol w:w="1157"/>
        <w:gridCol w:w="1559"/>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学校及项目</w:t>
            </w:r>
          </w:p>
        </w:tc>
        <w:tc>
          <w:tcPr>
            <w:tcW w:w="846"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期限（年）</w:t>
            </w:r>
          </w:p>
        </w:tc>
        <w:tc>
          <w:tcPr>
            <w:tcW w:w="1157"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申请资质</w:t>
            </w:r>
          </w:p>
        </w:tc>
        <w:tc>
          <w:tcPr>
            <w:tcW w:w="1559"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专业方向</w:t>
            </w:r>
          </w:p>
        </w:tc>
        <w:tc>
          <w:tcPr>
            <w:tcW w:w="2976"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前往机构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DEEAF6" w:themeFill="accent5" w:themeFillTint="33"/>
          </w:tcPr>
          <w:p>
            <w:pPr>
              <w:rPr>
                <w:rFonts w:eastAsiaTheme="minorHAnsi"/>
                <w:sz w:val="18"/>
                <w:szCs w:val="18"/>
              </w:rPr>
            </w:pPr>
            <w:r>
              <w:rPr>
                <w:rFonts w:hint="eastAsia" w:eastAsiaTheme="minorHAnsi"/>
                <w:sz w:val="18"/>
                <w:szCs w:val="18"/>
              </w:rPr>
              <w:t>耶鲁大学医学院</w:t>
            </w:r>
          </w:p>
          <w:p>
            <w:pPr>
              <w:rPr>
                <w:rFonts w:eastAsiaTheme="minorHAnsi"/>
                <w:sz w:val="18"/>
                <w:szCs w:val="18"/>
              </w:rPr>
            </w:pPr>
            <w:r>
              <w:rPr>
                <w:rFonts w:eastAsiaTheme="minorHAnsi"/>
                <w:sz w:val="18"/>
                <w:szCs w:val="18"/>
              </w:rPr>
              <w:t>NIH Ruth L. Kirschstein国家研究服务奖（NRSA）项目</w:t>
            </w:r>
          </w:p>
        </w:tc>
        <w:tc>
          <w:tcPr>
            <w:tcW w:w="846" w:type="dxa"/>
            <w:shd w:val="clear" w:color="auto" w:fill="DEEAF6" w:themeFill="accent5" w:themeFillTint="33"/>
          </w:tcPr>
          <w:p>
            <w:pPr>
              <w:rPr>
                <w:rFonts w:eastAsiaTheme="minorHAnsi"/>
                <w:sz w:val="18"/>
                <w:szCs w:val="18"/>
              </w:rPr>
            </w:pPr>
            <w:r>
              <w:rPr>
                <w:rFonts w:hint="eastAsia" w:eastAsiaTheme="minorHAnsi"/>
                <w:sz w:val="18"/>
                <w:szCs w:val="18"/>
              </w:rPr>
              <w:t>2</w:t>
            </w:r>
          </w:p>
        </w:tc>
        <w:tc>
          <w:tcPr>
            <w:tcW w:w="1157" w:type="dxa"/>
            <w:shd w:val="clear" w:color="auto" w:fill="DEEAF6" w:themeFill="accent5" w:themeFillTint="33"/>
          </w:tcPr>
          <w:p>
            <w:pPr>
              <w:rPr>
                <w:rFonts w:eastAsiaTheme="minorHAnsi"/>
                <w:sz w:val="18"/>
                <w:szCs w:val="18"/>
              </w:rPr>
            </w:pPr>
            <w:r>
              <w:rPr>
                <w:rFonts w:hint="eastAsia" w:eastAsiaTheme="minorHAnsi"/>
                <w:sz w:val="18"/>
                <w:szCs w:val="18"/>
              </w:rPr>
              <w:t>P</w:t>
            </w:r>
            <w:r>
              <w:rPr>
                <w:rFonts w:eastAsiaTheme="minorHAnsi"/>
                <w:sz w:val="18"/>
                <w:szCs w:val="18"/>
              </w:rPr>
              <w:t>h.D</w:t>
            </w:r>
            <w:r>
              <w:rPr>
                <w:rFonts w:hint="eastAsia" w:eastAsiaTheme="minorHAnsi"/>
                <w:sz w:val="18"/>
                <w:szCs w:val="18"/>
              </w:rPr>
              <w:t>/</w:t>
            </w:r>
            <w:r>
              <w:rPr>
                <w:rFonts w:eastAsiaTheme="minorHAnsi"/>
                <w:sz w:val="18"/>
                <w:szCs w:val="18"/>
              </w:rPr>
              <w:t>M.D.</w:t>
            </w:r>
          </w:p>
          <w:p>
            <w:pPr>
              <w:rPr>
                <w:rFonts w:eastAsiaTheme="minorHAnsi"/>
                <w:sz w:val="18"/>
                <w:szCs w:val="18"/>
              </w:rPr>
            </w:pPr>
            <w:r>
              <w:rPr>
                <w:rFonts w:hint="eastAsia" w:eastAsiaTheme="minorHAnsi"/>
                <w:sz w:val="18"/>
                <w:szCs w:val="18"/>
              </w:rPr>
              <w:t>2年以内</w:t>
            </w:r>
          </w:p>
        </w:tc>
        <w:tc>
          <w:tcPr>
            <w:tcW w:w="1559" w:type="dxa"/>
            <w:shd w:val="clear" w:color="auto" w:fill="DEEAF6" w:themeFill="accent5" w:themeFillTint="33"/>
          </w:tcPr>
          <w:p>
            <w:pPr>
              <w:rPr>
                <w:rFonts w:eastAsiaTheme="minorHAnsi"/>
                <w:sz w:val="18"/>
                <w:szCs w:val="18"/>
              </w:rPr>
            </w:pPr>
            <w:r>
              <w:rPr>
                <w:rFonts w:hint="eastAsia" w:eastAsiaTheme="minorHAnsi"/>
                <w:sz w:val="18"/>
                <w:szCs w:val="18"/>
              </w:rPr>
              <w:t>行为及临床研究</w:t>
            </w:r>
          </w:p>
          <w:p>
            <w:pPr>
              <w:rPr>
                <w:rFonts w:eastAsiaTheme="minorHAnsi"/>
                <w:sz w:val="18"/>
                <w:szCs w:val="18"/>
              </w:rPr>
            </w:pPr>
            <w:r>
              <w:rPr>
                <w:rFonts w:hint="eastAsia" w:eastAsiaTheme="minorHAnsi"/>
                <w:sz w:val="18"/>
                <w:szCs w:val="18"/>
              </w:rPr>
              <w:t>生物医学</w:t>
            </w:r>
          </w:p>
        </w:tc>
        <w:tc>
          <w:tcPr>
            <w:tcW w:w="2976" w:type="dxa"/>
            <w:shd w:val="clear" w:color="auto" w:fill="DEEAF6" w:themeFill="accent5" w:themeFillTint="33"/>
          </w:tcPr>
          <w:p>
            <w:pPr>
              <w:rPr>
                <w:rFonts w:eastAsiaTheme="minorHAnsi"/>
                <w:sz w:val="18"/>
                <w:szCs w:val="18"/>
              </w:rPr>
            </w:pPr>
            <w:r>
              <w:rPr>
                <w:rFonts w:hint="eastAsia" w:eastAsiaTheme="minorHAnsi"/>
                <w:sz w:val="18"/>
                <w:szCs w:val="18"/>
              </w:rPr>
              <w:t>国家癌症研究所（</w:t>
            </w:r>
            <w:r>
              <w:rPr>
                <w:rFonts w:eastAsiaTheme="minorHAnsi"/>
                <w:sz w:val="18"/>
                <w:szCs w:val="18"/>
              </w:rPr>
              <w:t>NCI）</w:t>
            </w:r>
          </w:p>
          <w:p>
            <w:pPr>
              <w:rPr>
                <w:rFonts w:eastAsiaTheme="minorHAnsi"/>
                <w:sz w:val="18"/>
                <w:szCs w:val="18"/>
              </w:rPr>
            </w:pPr>
            <w:r>
              <w:rPr>
                <w:rFonts w:hint="eastAsia" w:eastAsiaTheme="minorHAnsi"/>
                <w:sz w:val="18"/>
                <w:szCs w:val="18"/>
              </w:rPr>
              <w:t>国家眼科研究所（</w:t>
            </w:r>
            <w:r>
              <w:rPr>
                <w:rFonts w:eastAsiaTheme="minorHAnsi"/>
                <w:sz w:val="18"/>
                <w:szCs w:val="18"/>
              </w:rPr>
              <w:t>NEI）</w:t>
            </w:r>
          </w:p>
          <w:p>
            <w:pPr>
              <w:rPr>
                <w:rFonts w:eastAsiaTheme="minorHAnsi"/>
                <w:sz w:val="18"/>
                <w:szCs w:val="18"/>
              </w:rPr>
            </w:pPr>
            <w:r>
              <w:rPr>
                <w:rFonts w:hint="eastAsia" w:eastAsiaTheme="minorHAnsi"/>
                <w:sz w:val="18"/>
                <w:szCs w:val="18"/>
              </w:rPr>
              <w:t>国家心肺血液研究所（</w:t>
            </w:r>
            <w:r>
              <w:rPr>
                <w:rFonts w:eastAsiaTheme="minorHAnsi"/>
                <w:sz w:val="18"/>
                <w:szCs w:val="18"/>
              </w:rPr>
              <w:t>NHLBI）</w:t>
            </w:r>
          </w:p>
          <w:p>
            <w:pPr>
              <w:rPr>
                <w:rFonts w:eastAsiaTheme="minorHAnsi"/>
                <w:sz w:val="18"/>
                <w:szCs w:val="18"/>
              </w:rPr>
            </w:pPr>
            <w:r>
              <w:rPr>
                <w:rFonts w:hint="eastAsia" w:eastAsiaTheme="minorHAnsi"/>
                <w:sz w:val="18"/>
                <w:szCs w:val="18"/>
              </w:rPr>
              <w:t>国家人类基因组研究所（</w:t>
            </w:r>
            <w:r>
              <w:rPr>
                <w:rFonts w:eastAsiaTheme="minorHAnsi"/>
                <w:sz w:val="18"/>
                <w:szCs w:val="18"/>
              </w:rPr>
              <w:t>NHGRI）</w:t>
            </w:r>
          </w:p>
          <w:p>
            <w:pPr>
              <w:rPr>
                <w:rFonts w:eastAsiaTheme="minorHAnsi"/>
                <w:sz w:val="18"/>
                <w:szCs w:val="18"/>
              </w:rPr>
            </w:pPr>
            <w:r>
              <w:rPr>
                <w:rFonts w:hint="eastAsia" w:eastAsiaTheme="minorHAnsi"/>
                <w:sz w:val="18"/>
                <w:szCs w:val="18"/>
              </w:rPr>
              <w:t>国家老龄研究所（</w:t>
            </w:r>
            <w:r>
              <w:rPr>
                <w:rFonts w:eastAsiaTheme="minorHAnsi"/>
                <w:sz w:val="18"/>
                <w:szCs w:val="18"/>
              </w:rPr>
              <w:t>NIA）</w:t>
            </w:r>
          </w:p>
          <w:p>
            <w:pPr>
              <w:rPr>
                <w:rFonts w:eastAsiaTheme="minorHAnsi"/>
                <w:sz w:val="18"/>
                <w:szCs w:val="18"/>
              </w:rPr>
            </w:pPr>
            <w:r>
              <w:rPr>
                <w:rFonts w:hint="eastAsia" w:eastAsiaTheme="minorHAnsi"/>
                <w:sz w:val="18"/>
                <w:szCs w:val="18"/>
              </w:rPr>
              <w:t>国家酗酒与酒精中毒研究所（</w:t>
            </w:r>
            <w:r>
              <w:rPr>
                <w:rFonts w:eastAsiaTheme="minorHAnsi"/>
                <w:sz w:val="18"/>
                <w:szCs w:val="18"/>
              </w:rPr>
              <w:t>NIAA）</w:t>
            </w:r>
          </w:p>
          <w:p>
            <w:pPr>
              <w:rPr>
                <w:rFonts w:eastAsiaTheme="minorHAnsi"/>
                <w:sz w:val="18"/>
                <w:szCs w:val="18"/>
              </w:rPr>
            </w:pPr>
            <w:r>
              <w:rPr>
                <w:rFonts w:hint="eastAsia" w:eastAsiaTheme="minorHAnsi"/>
                <w:sz w:val="18"/>
                <w:szCs w:val="18"/>
              </w:rPr>
              <w:t>国家过敏和传染病研究所（</w:t>
            </w:r>
            <w:r>
              <w:rPr>
                <w:rFonts w:eastAsiaTheme="minorHAnsi"/>
                <w:sz w:val="18"/>
                <w:szCs w:val="18"/>
              </w:rPr>
              <w:t>NIAID）</w:t>
            </w:r>
          </w:p>
          <w:p>
            <w:pPr>
              <w:rPr>
                <w:rFonts w:eastAsiaTheme="minorHAnsi"/>
                <w:sz w:val="18"/>
                <w:szCs w:val="18"/>
              </w:rPr>
            </w:pPr>
            <w:r>
              <w:rPr>
                <w:rFonts w:hint="eastAsia" w:eastAsiaTheme="minorHAnsi"/>
                <w:sz w:val="18"/>
                <w:szCs w:val="18"/>
              </w:rPr>
              <w:t>国家关节炎和肌肉骨骼及皮肤病研究所（</w:t>
            </w:r>
            <w:r>
              <w:rPr>
                <w:rFonts w:eastAsiaTheme="minorHAnsi"/>
                <w:sz w:val="18"/>
                <w:szCs w:val="18"/>
              </w:rPr>
              <w:t>NIAMS）</w:t>
            </w:r>
          </w:p>
          <w:p>
            <w:pPr>
              <w:rPr>
                <w:rFonts w:eastAsiaTheme="minorHAnsi"/>
                <w:sz w:val="18"/>
                <w:szCs w:val="18"/>
              </w:rPr>
            </w:pPr>
            <w:r>
              <w:rPr>
                <w:rFonts w:hint="eastAsia" w:eastAsiaTheme="minorHAnsi"/>
                <w:sz w:val="18"/>
                <w:szCs w:val="18"/>
              </w:rPr>
              <w:t>国家生物医学成像与生物工程研究所</w:t>
            </w:r>
          </w:p>
          <w:p>
            <w:pPr>
              <w:rPr>
                <w:rFonts w:eastAsiaTheme="minorHAnsi"/>
                <w:sz w:val="18"/>
                <w:szCs w:val="18"/>
              </w:rPr>
            </w:pPr>
            <w:r>
              <w:rPr>
                <w:rFonts w:hint="eastAsia" w:eastAsiaTheme="minorHAnsi"/>
                <w:sz w:val="18"/>
                <w:szCs w:val="18"/>
              </w:rPr>
              <w:t>尤尼斯·肯尼迪·施赖弗国家儿童健康和人类发展研究所（</w:t>
            </w:r>
            <w:r>
              <w:rPr>
                <w:rFonts w:eastAsiaTheme="minorHAnsi"/>
                <w:sz w:val="18"/>
                <w:szCs w:val="18"/>
              </w:rPr>
              <w:t>NICHD）</w:t>
            </w:r>
          </w:p>
          <w:p>
            <w:pPr>
              <w:rPr>
                <w:rFonts w:eastAsiaTheme="minorHAnsi"/>
                <w:sz w:val="18"/>
                <w:szCs w:val="18"/>
              </w:rPr>
            </w:pPr>
            <w:r>
              <w:rPr>
                <w:rFonts w:hint="eastAsia" w:eastAsiaTheme="minorHAnsi"/>
                <w:sz w:val="18"/>
                <w:szCs w:val="18"/>
              </w:rPr>
              <w:t>国家耳聋和其他沟通障碍研究所（</w:t>
            </w:r>
            <w:r>
              <w:rPr>
                <w:rFonts w:eastAsiaTheme="minorHAnsi"/>
                <w:sz w:val="18"/>
                <w:szCs w:val="18"/>
              </w:rPr>
              <w:t>NIDCD）</w:t>
            </w:r>
          </w:p>
          <w:p>
            <w:pPr>
              <w:rPr>
                <w:rFonts w:eastAsiaTheme="minorHAnsi"/>
                <w:sz w:val="18"/>
                <w:szCs w:val="18"/>
              </w:rPr>
            </w:pPr>
            <w:r>
              <w:rPr>
                <w:rFonts w:hint="eastAsia" w:eastAsiaTheme="minorHAnsi"/>
                <w:sz w:val="18"/>
                <w:szCs w:val="18"/>
              </w:rPr>
              <w:t>国家牙科和颅面研究所（</w:t>
            </w:r>
            <w:r>
              <w:rPr>
                <w:rFonts w:eastAsiaTheme="minorHAnsi"/>
                <w:sz w:val="18"/>
                <w:szCs w:val="18"/>
              </w:rPr>
              <w:t>NIDCR）</w:t>
            </w:r>
          </w:p>
          <w:p>
            <w:pPr>
              <w:rPr>
                <w:rFonts w:eastAsiaTheme="minorHAnsi"/>
                <w:sz w:val="18"/>
                <w:szCs w:val="18"/>
              </w:rPr>
            </w:pPr>
            <w:r>
              <w:rPr>
                <w:rFonts w:hint="eastAsia" w:eastAsiaTheme="minorHAnsi"/>
                <w:sz w:val="18"/>
                <w:szCs w:val="18"/>
              </w:rPr>
              <w:t>国家糖尿病、消化和肾脏疾病研究所（</w:t>
            </w:r>
            <w:r>
              <w:rPr>
                <w:rFonts w:eastAsiaTheme="minorHAnsi"/>
                <w:sz w:val="18"/>
                <w:szCs w:val="18"/>
              </w:rPr>
              <w:t>NIDDK）</w:t>
            </w:r>
          </w:p>
          <w:p>
            <w:pPr>
              <w:rPr>
                <w:rFonts w:eastAsiaTheme="minorHAnsi"/>
                <w:sz w:val="18"/>
                <w:szCs w:val="18"/>
              </w:rPr>
            </w:pPr>
            <w:r>
              <w:rPr>
                <w:rFonts w:hint="eastAsia" w:eastAsiaTheme="minorHAnsi"/>
                <w:sz w:val="18"/>
                <w:szCs w:val="18"/>
              </w:rPr>
              <w:t>国家药物滥用研究所（</w:t>
            </w:r>
            <w:r>
              <w:rPr>
                <w:rFonts w:eastAsiaTheme="minorHAnsi"/>
                <w:sz w:val="18"/>
                <w:szCs w:val="18"/>
              </w:rPr>
              <w:t>NIDA）</w:t>
            </w:r>
          </w:p>
          <w:p>
            <w:pPr>
              <w:rPr>
                <w:rFonts w:eastAsiaTheme="minorHAnsi"/>
                <w:sz w:val="18"/>
                <w:szCs w:val="18"/>
              </w:rPr>
            </w:pPr>
            <w:r>
              <w:rPr>
                <w:rFonts w:hint="eastAsia" w:eastAsiaTheme="minorHAnsi"/>
                <w:sz w:val="18"/>
                <w:szCs w:val="18"/>
              </w:rPr>
              <w:t>国家环境健康科学研究所</w:t>
            </w:r>
          </w:p>
          <w:p>
            <w:pPr>
              <w:rPr>
                <w:rFonts w:eastAsiaTheme="minorHAnsi"/>
                <w:sz w:val="18"/>
                <w:szCs w:val="18"/>
              </w:rPr>
            </w:pPr>
            <w:r>
              <w:rPr>
                <w:rFonts w:hint="eastAsia" w:eastAsiaTheme="minorHAnsi"/>
                <w:sz w:val="18"/>
                <w:szCs w:val="18"/>
              </w:rPr>
              <w:t>国家普通医学科学研究所（</w:t>
            </w:r>
            <w:r>
              <w:rPr>
                <w:rFonts w:eastAsiaTheme="minorHAnsi"/>
                <w:sz w:val="18"/>
                <w:szCs w:val="18"/>
              </w:rPr>
              <w:t>NIGMS）</w:t>
            </w:r>
          </w:p>
          <w:p>
            <w:pPr>
              <w:rPr>
                <w:rFonts w:eastAsiaTheme="minorHAnsi"/>
                <w:sz w:val="18"/>
                <w:szCs w:val="18"/>
              </w:rPr>
            </w:pPr>
            <w:r>
              <w:rPr>
                <w:rFonts w:hint="eastAsia" w:eastAsiaTheme="minorHAnsi"/>
                <w:sz w:val="18"/>
                <w:szCs w:val="18"/>
              </w:rPr>
              <w:t>国家精神卫生研究所</w:t>
            </w:r>
          </w:p>
          <w:p>
            <w:pPr>
              <w:rPr>
                <w:rFonts w:eastAsiaTheme="minorHAnsi"/>
                <w:sz w:val="18"/>
                <w:szCs w:val="18"/>
              </w:rPr>
            </w:pPr>
            <w:r>
              <w:rPr>
                <w:rFonts w:hint="eastAsia" w:eastAsiaTheme="minorHAnsi"/>
                <w:sz w:val="18"/>
                <w:szCs w:val="18"/>
              </w:rPr>
              <w:t>国家少数民族健康和健康差异研究所（</w:t>
            </w:r>
            <w:r>
              <w:rPr>
                <w:rFonts w:eastAsiaTheme="minorHAnsi"/>
                <w:sz w:val="18"/>
                <w:szCs w:val="18"/>
              </w:rPr>
              <w:t>NIMHD）</w:t>
            </w:r>
          </w:p>
          <w:p>
            <w:pPr>
              <w:rPr>
                <w:rFonts w:eastAsiaTheme="minorHAnsi"/>
                <w:sz w:val="18"/>
                <w:szCs w:val="18"/>
              </w:rPr>
            </w:pPr>
            <w:r>
              <w:rPr>
                <w:rFonts w:hint="eastAsia" w:eastAsiaTheme="minorHAnsi"/>
                <w:sz w:val="18"/>
                <w:szCs w:val="18"/>
              </w:rPr>
              <w:t>国立护理研究所（</w:t>
            </w:r>
            <w:r>
              <w:rPr>
                <w:rFonts w:eastAsiaTheme="minorHAnsi"/>
                <w:sz w:val="18"/>
                <w:szCs w:val="18"/>
              </w:rPr>
              <w:t>NINR）</w:t>
            </w:r>
          </w:p>
          <w:p>
            <w:pPr>
              <w:rPr>
                <w:rFonts w:eastAsiaTheme="minorHAnsi"/>
                <w:sz w:val="18"/>
                <w:szCs w:val="18"/>
              </w:rPr>
            </w:pPr>
            <w:r>
              <w:rPr>
                <w:rFonts w:hint="eastAsia" w:eastAsiaTheme="minorHAnsi"/>
                <w:sz w:val="18"/>
                <w:szCs w:val="18"/>
              </w:rPr>
              <w:t>国家补充和综合健康中心（</w:t>
            </w:r>
            <w:r>
              <w:rPr>
                <w:rFonts w:eastAsiaTheme="minorHAnsi"/>
                <w:sz w:val="18"/>
                <w:szCs w:val="18"/>
              </w:rPr>
              <w:t>NCCIH）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DEEAF6" w:themeFill="accent5" w:themeFillTint="33"/>
          </w:tcPr>
          <w:p>
            <w:pPr>
              <w:rPr>
                <w:rFonts w:eastAsiaTheme="minorHAnsi"/>
                <w:sz w:val="18"/>
                <w:szCs w:val="18"/>
              </w:rPr>
            </w:pPr>
            <w:r>
              <w:rPr>
                <w:rFonts w:hint="eastAsia" w:eastAsiaTheme="minorHAnsi"/>
                <w:sz w:val="18"/>
                <w:szCs w:val="18"/>
              </w:rPr>
              <w:t>康奈尔大学</w:t>
            </w:r>
          </w:p>
          <w:p>
            <w:pPr>
              <w:rPr>
                <w:rFonts w:eastAsiaTheme="minorHAnsi"/>
                <w:sz w:val="18"/>
                <w:szCs w:val="18"/>
              </w:rPr>
            </w:pPr>
            <w:r>
              <w:rPr>
                <w:rFonts w:hint="eastAsia" w:eastAsiaTheme="minorHAnsi"/>
                <w:sz w:val="18"/>
                <w:szCs w:val="18"/>
              </w:rPr>
              <w:t>梅隆奖学金项目</w:t>
            </w:r>
          </w:p>
        </w:tc>
        <w:tc>
          <w:tcPr>
            <w:tcW w:w="846" w:type="dxa"/>
            <w:shd w:val="clear" w:color="auto" w:fill="DEEAF6" w:themeFill="accent5" w:themeFillTint="33"/>
          </w:tcPr>
          <w:p>
            <w:pPr>
              <w:rPr>
                <w:rFonts w:eastAsiaTheme="minorHAnsi"/>
                <w:sz w:val="18"/>
                <w:szCs w:val="18"/>
              </w:rPr>
            </w:pPr>
            <w:r>
              <w:rPr>
                <w:rFonts w:hint="eastAsia" w:eastAsiaTheme="minorHAnsi"/>
                <w:sz w:val="18"/>
                <w:szCs w:val="18"/>
              </w:rPr>
              <w:t>2年</w:t>
            </w:r>
          </w:p>
        </w:tc>
        <w:tc>
          <w:tcPr>
            <w:tcW w:w="1157" w:type="dxa"/>
            <w:shd w:val="clear" w:color="auto" w:fill="DEEAF6" w:themeFill="accent5" w:themeFillTint="33"/>
          </w:tcPr>
          <w:p>
            <w:pPr>
              <w:rPr>
                <w:rFonts w:eastAsiaTheme="minorHAnsi"/>
                <w:sz w:val="18"/>
                <w:szCs w:val="18"/>
              </w:rPr>
            </w:pPr>
            <w:r>
              <w:rPr>
                <w:rFonts w:hint="eastAsia" w:eastAsiaTheme="minorHAnsi"/>
                <w:sz w:val="18"/>
                <w:szCs w:val="18"/>
              </w:rPr>
              <w:t>Ph</w:t>
            </w:r>
            <w:r>
              <w:rPr>
                <w:rFonts w:eastAsiaTheme="minorHAnsi"/>
                <w:sz w:val="18"/>
                <w:szCs w:val="18"/>
              </w:rPr>
              <w:t>.D</w:t>
            </w:r>
          </w:p>
          <w:p>
            <w:pPr>
              <w:rPr>
                <w:rFonts w:eastAsiaTheme="minorHAnsi"/>
                <w:sz w:val="18"/>
                <w:szCs w:val="18"/>
              </w:rPr>
            </w:pPr>
            <w:r>
              <w:rPr>
                <w:rFonts w:hint="eastAsia" w:eastAsiaTheme="minorHAnsi"/>
                <w:sz w:val="18"/>
                <w:szCs w:val="18"/>
              </w:rPr>
              <w:t>两年以内</w:t>
            </w:r>
          </w:p>
        </w:tc>
        <w:tc>
          <w:tcPr>
            <w:tcW w:w="1559" w:type="dxa"/>
            <w:shd w:val="clear" w:color="auto" w:fill="DEEAF6" w:themeFill="accent5" w:themeFillTint="33"/>
          </w:tcPr>
          <w:p>
            <w:pPr>
              <w:rPr>
                <w:rFonts w:eastAsiaTheme="minorHAnsi"/>
                <w:sz w:val="18"/>
                <w:szCs w:val="18"/>
              </w:rPr>
            </w:pPr>
            <w:r>
              <w:rPr>
                <w:rFonts w:hint="eastAsia" w:eastAsiaTheme="minorHAnsi"/>
                <w:sz w:val="18"/>
                <w:szCs w:val="18"/>
              </w:rPr>
              <w:t>古典文学</w:t>
            </w:r>
          </w:p>
          <w:p>
            <w:pPr>
              <w:rPr>
                <w:rFonts w:eastAsiaTheme="minorHAnsi"/>
                <w:sz w:val="18"/>
                <w:szCs w:val="18"/>
              </w:rPr>
            </w:pPr>
            <w:r>
              <w:rPr>
                <w:rFonts w:hint="eastAsia" w:eastAsiaTheme="minorHAnsi"/>
                <w:sz w:val="18"/>
                <w:szCs w:val="18"/>
              </w:rPr>
              <w:t>表演与媒体艺术</w:t>
            </w:r>
          </w:p>
        </w:tc>
        <w:tc>
          <w:tcPr>
            <w:tcW w:w="2976" w:type="dxa"/>
            <w:shd w:val="clear" w:color="auto" w:fill="DEEAF6" w:themeFill="accent5" w:themeFillTint="33"/>
          </w:tcPr>
          <w:p>
            <w:pPr>
              <w:rPr>
                <w:rFonts w:eastAsiaTheme="minorHAnsi"/>
                <w:sz w:val="18"/>
                <w:szCs w:val="18"/>
              </w:rPr>
            </w:pPr>
            <w:r>
              <w:rPr>
                <w:rFonts w:hint="eastAsia" w:eastAsiaTheme="minorHAnsi"/>
                <w:sz w:val="18"/>
                <w:szCs w:val="18"/>
              </w:rPr>
              <w:t>康奈尔大学人文艺术学院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DEEAF6" w:themeFill="accent5" w:themeFillTint="33"/>
          </w:tcPr>
          <w:p>
            <w:pPr>
              <w:rPr>
                <w:rFonts w:eastAsiaTheme="minorHAnsi"/>
                <w:sz w:val="18"/>
                <w:szCs w:val="18"/>
              </w:rPr>
            </w:pPr>
            <w:r>
              <w:rPr>
                <w:rFonts w:hint="eastAsia" w:eastAsiaTheme="minorHAnsi"/>
                <w:sz w:val="18"/>
                <w:szCs w:val="18"/>
              </w:rPr>
              <w:t>哈佛大学</w:t>
            </w:r>
          </w:p>
          <w:p>
            <w:pPr>
              <w:rPr>
                <w:rFonts w:eastAsiaTheme="minorHAnsi"/>
                <w:sz w:val="18"/>
                <w:szCs w:val="18"/>
              </w:rPr>
            </w:pPr>
            <w:r>
              <w:rPr>
                <w:rFonts w:hint="eastAsia" w:eastAsiaTheme="minorHAnsi"/>
                <w:sz w:val="18"/>
                <w:szCs w:val="18"/>
              </w:rPr>
              <w:t>（</w:t>
            </w:r>
            <w:r>
              <w:rPr>
                <w:rFonts w:eastAsiaTheme="minorHAnsi"/>
                <w:sz w:val="18"/>
                <w:szCs w:val="18"/>
              </w:rPr>
              <w:t>An Wang Postdoctoral Fellowships</w:t>
            </w:r>
            <w:r>
              <w:rPr>
                <w:rFonts w:hint="eastAsia" w:eastAsiaTheme="minorHAnsi"/>
                <w:sz w:val="18"/>
                <w:szCs w:val="18"/>
              </w:rPr>
              <w:t>）</w:t>
            </w:r>
          </w:p>
        </w:tc>
        <w:tc>
          <w:tcPr>
            <w:tcW w:w="846" w:type="dxa"/>
            <w:shd w:val="clear" w:color="auto" w:fill="DEEAF6" w:themeFill="accent5" w:themeFillTint="33"/>
          </w:tcPr>
          <w:p>
            <w:pPr>
              <w:rPr>
                <w:rFonts w:eastAsiaTheme="minorHAnsi"/>
                <w:sz w:val="18"/>
                <w:szCs w:val="18"/>
              </w:rPr>
            </w:pPr>
            <w:r>
              <w:rPr>
                <w:rFonts w:hint="eastAsia" w:eastAsiaTheme="minorHAnsi"/>
                <w:sz w:val="18"/>
                <w:szCs w:val="18"/>
              </w:rPr>
              <w:t>1年</w:t>
            </w:r>
          </w:p>
        </w:tc>
        <w:tc>
          <w:tcPr>
            <w:tcW w:w="1157" w:type="dxa"/>
            <w:shd w:val="clear" w:color="auto" w:fill="DEEAF6" w:themeFill="accent5" w:themeFillTint="33"/>
          </w:tcPr>
          <w:p>
            <w:pPr>
              <w:rPr>
                <w:rFonts w:eastAsiaTheme="minorHAnsi"/>
                <w:sz w:val="18"/>
                <w:szCs w:val="18"/>
              </w:rPr>
            </w:pPr>
            <w:r>
              <w:rPr>
                <w:rFonts w:hint="eastAsia" w:eastAsiaTheme="minorHAnsi"/>
                <w:sz w:val="18"/>
                <w:szCs w:val="18"/>
              </w:rPr>
              <w:t>P</w:t>
            </w:r>
            <w:r>
              <w:rPr>
                <w:rFonts w:eastAsiaTheme="minorHAnsi"/>
                <w:sz w:val="18"/>
                <w:szCs w:val="18"/>
              </w:rPr>
              <w:t>h.D</w:t>
            </w:r>
          </w:p>
          <w:p>
            <w:pPr>
              <w:rPr>
                <w:rFonts w:eastAsiaTheme="minorHAnsi"/>
                <w:sz w:val="18"/>
                <w:szCs w:val="18"/>
              </w:rPr>
            </w:pPr>
            <w:r>
              <w:rPr>
                <w:rFonts w:hint="eastAsia" w:eastAsiaTheme="minorHAnsi"/>
                <w:sz w:val="18"/>
                <w:szCs w:val="18"/>
              </w:rPr>
              <w:t>（2</w:t>
            </w:r>
            <w:r>
              <w:rPr>
                <w:rFonts w:eastAsiaTheme="minorHAnsi"/>
                <w:sz w:val="18"/>
                <w:szCs w:val="18"/>
              </w:rPr>
              <w:t>015</w:t>
            </w:r>
            <w:r>
              <w:rPr>
                <w:rFonts w:hint="eastAsia" w:eastAsiaTheme="minorHAnsi"/>
                <w:sz w:val="18"/>
                <w:szCs w:val="18"/>
              </w:rPr>
              <w:t>年7</w:t>
            </w:r>
            <w:r>
              <w:rPr>
                <w:rFonts w:eastAsiaTheme="minorHAnsi"/>
                <w:sz w:val="18"/>
                <w:szCs w:val="18"/>
              </w:rPr>
              <w:t>—2020</w:t>
            </w:r>
            <w:r>
              <w:rPr>
                <w:rFonts w:hint="eastAsia" w:eastAsiaTheme="minorHAnsi"/>
                <w:sz w:val="18"/>
                <w:szCs w:val="18"/>
              </w:rPr>
              <w:t>年7月期间获得博士学位）</w:t>
            </w:r>
          </w:p>
        </w:tc>
        <w:tc>
          <w:tcPr>
            <w:tcW w:w="1559" w:type="dxa"/>
            <w:shd w:val="clear" w:color="auto" w:fill="DEEAF6" w:themeFill="accent5" w:themeFillTint="33"/>
          </w:tcPr>
          <w:p>
            <w:pPr>
              <w:rPr>
                <w:rFonts w:eastAsiaTheme="minorHAnsi"/>
                <w:sz w:val="18"/>
                <w:szCs w:val="18"/>
              </w:rPr>
            </w:pPr>
            <w:r>
              <w:rPr>
                <w:rFonts w:hint="eastAsia" w:eastAsiaTheme="minorHAnsi"/>
                <w:sz w:val="18"/>
                <w:szCs w:val="18"/>
              </w:rPr>
              <w:t>现代中国形成过程中的科学与技术</w:t>
            </w:r>
          </w:p>
        </w:tc>
        <w:tc>
          <w:tcPr>
            <w:tcW w:w="2976" w:type="dxa"/>
            <w:shd w:val="clear" w:color="auto" w:fill="DEEAF6" w:themeFill="accent5" w:themeFillTint="33"/>
          </w:tcPr>
          <w:p>
            <w:pPr>
              <w:rPr>
                <w:rFonts w:eastAsiaTheme="minorHAnsi"/>
                <w:sz w:val="18"/>
                <w:szCs w:val="18"/>
              </w:rPr>
            </w:pPr>
            <w:r>
              <w:rPr>
                <w:rFonts w:hint="eastAsia" w:eastAsiaTheme="minorHAnsi"/>
                <w:sz w:val="18"/>
                <w:szCs w:val="18"/>
              </w:rPr>
              <w:t>费正清东亚研究中心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DEEAF6" w:themeFill="accent5" w:themeFillTint="33"/>
          </w:tcPr>
          <w:p>
            <w:pPr>
              <w:rPr>
                <w:rFonts w:eastAsiaTheme="minorHAnsi"/>
                <w:sz w:val="18"/>
                <w:szCs w:val="18"/>
              </w:rPr>
            </w:pPr>
            <w:r>
              <w:rPr>
                <w:rFonts w:hint="eastAsia" w:eastAsiaTheme="minorHAnsi"/>
                <w:sz w:val="18"/>
                <w:szCs w:val="18"/>
              </w:rPr>
              <w:t>普渡大学</w:t>
            </w:r>
          </w:p>
        </w:tc>
        <w:tc>
          <w:tcPr>
            <w:tcW w:w="846" w:type="dxa"/>
            <w:shd w:val="clear" w:color="auto" w:fill="DEEAF6" w:themeFill="accent5" w:themeFillTint="33"/>
          </w:tcPr>
          <w:p>
            <w:pPr>
              <w:rPr>
                <w:rFonts w:eastAsiaTheme="minorHAnsi"/>
                <w:sz w:val="18"/>
                <w:szCs w:val="18"/>
              </w:rPr>
            </w:pPr>
            <w:r>
              <w:rPr>
                <w:rFonts w:hint="eastAsia" w:eastAsiaTheme="minorHAnsi"/>
                <w:sz w:val="18"/>
                <w:szCs w:val="18"/>
              </w:rPr>
              <w:t>2年~</w:t>
            </w:r>
            <w:r>
              <w:rPr>
                <w:rFonts w:eastAsiaTheme="minorHAnsi"/>
                <w:sz w:val="18"/>
                <w:szCs w:val="18"/>
              </w:rPr>
              <w:t>5</w:t>
            </w:r>
            <w:r>
              <w:rPr>
                <w:rFonts w:hint="eastAsia" w:eastAsiaTheme="minorHAnsi"/>
                <w:sz w:val="18"/>
                <w:szCs w:val="18"/>
              </w:rPr>
              <w:t>年</w:t>
            </w:r>
          </w:p>
        </w:tc>
        <w:tc>
          <w:tcPr>
            <w:tcW w:w="1157" w:type="dxa"/>
            <w:shd w:val="clear" w:color="auto" w:fill="DEEAF6" w:themeFill="accent5" w:themeFillTint="33"/>
          </w:tcPr>
          <w:p>
            <w:pPr>
              <w:rPr>
                <w:rFonts w:eastAsiaTheme="minorHAnsi"/>
                <w:sz w:val="18"/>
                <w:szCs w:val="18"/>
              </w:rPr>
            </w:pPr>
            <w:r>
              <w:rPr>
                <w:rFonts w:hint="eastAsia" w:eastAsiaTheme="minorHAnsi"/>
                <w:sz w:val="18"/>
                <w:szCs w:val="18"/>
              </w:rPr>
              <w:t>P</w:t>
            </w:r>
            <w:r>
              <w:rPr>
                <w:rFonts w:eastAsiaTheme="minorHAnsi"/>
                <w:sz w:val="18"/>
                <w:szCs w:val="18"/>
              </w:rPr>
              <w:t>h.D</w:t>
            </w:r>
          </w:p>
        </w:tc>
        <w:tc>
          <w:tcPr>
            <w:tcW w:w="1559" w:type="dxa"/>
            <w:shd w:val="clear" w:color="auto" w:fill="DEEAF6" w:themeFill="accent5" w:themeFillTint="33"/>
          </w:tcPr>
          <w:p>
            <w:pPr>
              <w:rPr>
                <w:rFonts w:eastAsiaTheme="minorHAnsi"/>
                <w:sz w:val="18"/>
                <w:szCs w:val="18"/>
              </w:rPr>
            </w:pPr>
            <w:r>
              <w:rPr>
                <w:rFonts w:hint="eastAsia" w:eastAsiaTheme="minorHAnsi"/>
                <w:sz w:val="18"/>
                <w:szCs w:val="18"/>
              </w:rPr>
              <w:t>宗教学</w:t>
            </w:r>
          </w:p>
        </w:tc>
        <w:tc>
          <w:tcPr>
            <w:tcW w:w="2976" w:type="dxa"/>
            <w:shd w:val="clear" w:color="auto" w:fill="DEEAF6" w:themeFill="accent5" w:themeFillTint="33"/>
          </w:tcPr>
          <w:p>
            <w:pPr>
              <w:rPr>
                <w:rFonts w:eastAsiaTheme="minorHAnsi"/>
                <w:sz w:val="18"/>
                <w:szCs w:val="18"/>
              </w:rPr>
            </w:pPr>
            <w:r>
              <w:rPr>
                <w:rFonts w:hint="eastAsia" w:eastAsiaTheme="minorHAnsi"/>
                <w:sz w:val="18"/>
                <w:szCs w:val="18"/>
              </w:rPr>
              <w:t>中国宗教与社会研究中心</w:t>
            </w:r>
          </w:p>
        </w:tc>
      </w:tr>
    </w:tbl>
    <w:p>
      <w:pPr>
        <w:rPr>
          <w:rFonts w:hint="eastAsia"/>
        </w:rPr>
      </w:pPr>
    </w:p>
    <w:p>
      <w:r>
        <w:drawing>
          <wp:anchor distT="0" distB="0" distL="114300" distR="114300" simplePos="0" relativeHeight="251662336" behindDoc="1" locked="0" layoutInCell="1" allowOverlap="1">
            <wp:simplePos x="0" y="0"/>
            <wp:positionH relativeFrom="page">
              <wp:align>left</wp:align>
            </wp:positionH>
            <wp:positionV relativeFrom="paragraph">
              <wp:posOffset>-1252855</wp:posOffset>
            </wp:positionV>
            <wp:extent cx="7705725" cy="11001375"/>
            <wp:effectExtent l="0" t="0" r="9525"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705725" cy="11001375"/>
                    </a:xfrm>
                    <a:prstGeom prst="rect">
                      <a:avLst/>
                    </a:prstGeom>
                    <a:noFill/>
                    <a:ln>
                      <a:noFill/>
                    </a:ln>
                  </pic:spPr>
                </pic:pic>
              </a:graphicData>
            </a:graphic>
          </wp:anchor>
        </w:drawing>
      </w:r>
    </w:p>
    <w:p/>
    <w:p/>
    <w:p/>
    <w:p>
      <w:pPr>
        <w:rPr>
          <w:rFonts w:hint="eastAsia"/>
        </w:rPr>
      </w:pPr>
    </w:p>
    <w:p/>
    <w:p>
      <w:pPr>
        <w:spacing w:line="276" w:lineRule="auto"/>
        <w:rPr>
          <w:rFonts w:ascii="方正综艺简体" w:eastAsia="方正综艺简体"/>
          <w:sz w:val="24"/>
          <w:szCs w:val="24"/>
        </w:rPr>
      </w:pPr>
      <w:r>
        <w:rPr>
          <w:rFonts w:hint="eastAsia" w:ascii="方正综艺简体" w:eastAsia="方正综艺简体"/>
          <w:color w:val="FFFFFF" w:themeColor="background1"/>
          <w:sz w:val="24"/>
          <w:szCs w:val="24"/>
          <w14:textFill>
            <w14:solidFill>
              <w14:schemeClr w14:val="bg1"/>
            </w14:solidFill>
          </w14:textFill>
        </w:rPr>
        <w:t>博士后申请都需要哪些材料</w:t>
      </w:r>
    </w:p>
    <w:p>
      <w:pPr>
        <w:pStyle w:val="9"/>
        <w:numPr>
          <w:ilvl w:val="0"/>
          <w:numId w:val="2"/>
        </w:numPr>
        <w:spacing w:line="276" w:lineRule="auto"/>
        <w:ind w:left="426" w:firstLineChars="0"/>
        <w:rPr>
          <w:rFonts w:ascii="微软雅黑" w:hAnsi="微软雅黑" w:eastAsia="微软雅黑"/>
          <w:b/>
          <w:bCs/>
          <w:szCs w:val="21"/>
        </w:rPr>
      </w:pPr>
      <w:r>
        <w:rPr>
          <w:rFonts w:hint="eastAsia" w:ascii="微软雅黑" w:hAnsi="微软雅黑" w:eastAsia="微软雅黑"/>
          <w:b/>
          <w:bCs/>
          <w:szCs w:val="21"/>
        </w:rPr>
        <w:t>身份证（正背，扫描件）；</w:t>
      </w:r>
    </w:p>
    <w:p>
      <w:pPr>
        <w:pStyle w:val="9"/>
        <w:numPr>
          <w:ilvl w:val="0"/>
          <w:numId w:val="2"/>
        </w:numPr>
        <w:spacing w:line="276" w:lineRule="auto"/>
        <w:ind w:left="426" w:firstLineChars="0"/>
        <w:rPr>
          <w:rFonts w:ascii="微软雅黑" w:hAnsi="微软雅黑" w:eastAsia="微软雅黑"/>
          <w:b/>
          <w:bCs/>
          <w:szCs w:val="21"/>
        </w:rPr>
      </w:pPr>
      <w:r>
        <w:rPr>
          <w:rFonts w:hint="eastAsia" w:ascii="微软雅黑" w:hAnsi="微软雅黑" w:eastAsia="微软雅黑"/>
          <w:b/>
          <w:bCs/>
          <w:szCs w:val="21"/>
        </w:rPr>
        <w:t>护照（扫描件）；</w:t>
      </w:r>
    </w:p>
    <w:p>
      <w:pPr>
        <w:pStyle w:val="9"/>
        <w:numPr>
          <w:ilvl w:val="0"/>
          <w:numId w:val="2"/>
        </w:numPr>
        <w:spacing w:line="276" w:lineRule="auto"/>
        <w:ind w:left="426" w:firstLineChars="0"/>
        <w:rPr>
          <w:rFonts w:ascii="微软雅黑" w:hAnsi="微软雅黑" w:eastAsia="微软雅黑"/>
          <w:b/>
          <w:bCs/>
          <w:szCs w:val="21"/>
        </w:rPr>
      </w:pPr>
      <w:r>
        <w:rPr>
          <w:rFonts w:hint="eastAsia" w:ascii="微软雅黑" w:hAnsi="微软雅黑" w:eastAsia="微软雅黑"/>
          <w:b/>
          <w:bCs/>
          <w:szCs w:val="21"/>
        </w:rPr>
        <w:t>在职证明；</w:t>
      </w:r>
    </w:p>
    <w:p>
      <w:pPr>
        <w:pStyle w:val="9"/>
        <w:numPr>
          <w:ilvl w:val="0"/>
          <w:numId w:val="2"/>
        </w:numPr>
        <w:spacing w:line="276" w:lineRule="auto"/>
        <w:ind w:left="426" w:firstLineChars="0"/>
        <w:rPr>
          <w:rFonts w:ascii="微软雅黑" w:hAnsi="微软雅黑" w:eastAsia="微软雅黑"/>
          <w:b/>
          <w:bCs/>
          <w:szCs w:val="21"/>
        </w:rPr>
      </w:pPr>
      <w:r>
        <w:rPr>
          <w:rFonts w:hint="eastAsia" w:ascii="微软雅黑" w:hAnsi="微软雅黑" w:eastAsia="微软雅黑"/>
          <w:b/>
          <w:bCs/>
          <w:szCs w:val="21"/>
        </w:rPr>
        <w:t>个人简历（中英文，教育经历和研究经历要清晰）；</w:t>
      </w:r>
    </w:p>
    <w:p>
      <w:pPr>
        <w:pStyle w:val="9"/>
        <w:numPr>
          <w:ilvl w:val="0"/>
          <w:numId w:val="2"/>
        </w:numPr>
        <w:spacing w:line="276" w:lineRule="auto"/>
        <w:ind w:left="426" w:firstLineChars="0"/>
        <w:rPr>
          <w:rFonts w:ascii="微软雅黑" w:hAnsi="微软雅黑" w:eastAsia="微软雅黑"/>
          <w:b/>
          <w:bCs/>
          <w:szCs w:val="21"/>
        </w:rPr>
      </w:pPr>
      <w:r>
        <w:rPr>
          <w:rFonts w:hint="eastAsia" w:ascii="微软雅黑" w:hAnsi="微软雅黑" w:eastAsia="微软雅黑"/>
          <w:b/>
          <w:bCs/>
          <w:szCs w:val="21"/>
        </w:rPr>
        <w:t>研究计划；</w:t>
      </w:r>
    </w:p>
    <w:p>
      <w:pPr>
        <w:pStyle w:val="9"/>
        <w:numPr>
          <w:ilvl w:val="0"/>
          <w:numId w:val="2"/>
        </w:numPr>
        <w:spacing w:line="276" w:lineRule="auto"/>
        <w:ind w:left="426" w:firstLineChars="0"/>
        <w:rPr>
          <w:rFonts w:ascii="微软雅黑" w:hAnsi="微软雅黑" w:eastAsia="微软雅黑"/>
          <w:szCs w:val="21"/>
        </w:rPr>
      </w:pPr>
      <w:r>
        <w:rPr>
          <w:rFonts w:hint="eastAsia" w:ascii="微软雅黑" w:hAnsi="微软雅黑" w:eastAsia="微软雅黑"/>
          <w:b/>
          <w:bCs/>
          <w:szCs w:val="21"/>
        </w:rPr>
        <w:t>过去两年中发表的论文（所发期刊的封面、封底、目录和论文的正文扫描件）；</w:t>
      </w:r>
    </w:p>
    <w:p/>
    <w:p/>
    <w:p/>
    <w:p/>
    <w:p/>
    <w:p>
      <w:pPr>
        <w:rPr>
          <w:rFonts w:ascii="方正综艺简体" w:eastAsia="方正综艺简体"/>
          <w:sz w:val="24"/>
          <w:szCs w:val="24"/>
        </w:rPr>
      </w:pPr>
      <w:r>
        <w:rPr>
          <w:rFonts w:hint="eastAsia" w:ascii="方正综艺简体" w:eastAsia="方正综艺简体"/>
          <w:color w:val="FFFFFF" w:themeColor="background1"/>
          <w:sz w:val="24"/>
          <w:szCs w:val="24"/>
          <w14:textFill>
            <w14:solidFill>
              <w14:schemeClr w14:val="bg1"/>
            </w14:solidFill>
          </w14:textFill>
        </w:rPr>
        <w:t>博士后的申请流程</w:t>
      </w:r>
    </w:p>
    <w:p/>
    <w:p/>
    <w:p/>
    <w:p/>
    <w:p>
      <w:r>
        <w:rPr>
          <w:rFonts w:hint="eastAsia" w:ascii="方正综艺简体" w:eastAsia="方正综艺简体"/>
          <w:color w:val="FFFFFF" w:themeColor="background1"/>
          <w:sz w:val="24"/>
          <w:szCs w:val="24"/>
          <w14:textFill>
            <w14:solidFill>
              <w14:schemeClr w14:val="bg1"/>
            </w14:solidFill>
          </w14:textFill>
        </w:rPr>
        <w:drawing>
          <wp:anchor distT="0" distB="0" distL="114300" distR="114300" simplePos="0" relativeHeight="251664384" behindDoc="1" locked="0" layoutInCell="1" allowOverlap="1">
            <wp:simplePos x="0" y="0"/>
            <wp:positionH relativeFrom="margin">
              <wp:posOffset>-304800</wp:posOffset>
            </wp:positionH>
            <wp:positionV relativeFrom="paragraph">
              <wp:posOffset>136525</wp:posOffset>
            </wp:positionV>
            <wp:extent cx="6118860" cy="86677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18860" cy="866775"/>
                    </a:xfrm>
                    <a:prstGeom prst="rect">
                      <a:avLst/>
                    </a:prstGeom>
                    <a:noFill/>
                    <a:ln>
                      <a:noFill/>
                    </a:ln>
                  </pic:spPr>
                </pic:pic>
              </a:graphicData>
            </a:graphic>
          </wp:anchor>
        </w:drawing>
      </w:r>
    </w:p>
    <w:p/>
    <w:p/>
    <w:p/>
    <w:p/>
    <w:p/>
    <w:p>
      <w:r>
        <w:rPr>
          <w:rFonts w:hint="eastAsia"/>
          <w:b/>
          <w:bCs/>
        </w:rPr>
        <w:t>提醒注意</w:t>
      </w:r>
      <w:r>
        <w:rPr>
          <w:rFonts w:hint="eastAsia"/>
        </w:rPr>
        <w:t>：本流程为一般参考，如果申请人有任何个性化问题需要解决，如简历完善、项目选择等，请申请人具体联系负责人员。</w:t>
      </w:r>
    </w:p>
    <w:p/>
    <w:p/>
    <w:p/>
    <w:p/>
    <w:p/>
    <w:p>
      <w:r>
        <w:drawing>
          <wp:anchor distT="0" distB="0" distL="114300" distR="114300" simplePos="0" relativeHeight="251663360" behindDoc="1" locked="0" layoutInCell="1" allowOverlap="1">
            <wp:simplePos x="0" y="0"/>
            <wp:positionH relativeFrom="page">
              <wp:posOffset>67945</wp:posOffset>
            </wp:positionH>
            <wp:positionV relativeFrom="paragraph">
              <wp:posOffset>-1137285</wp:posOffset>
            </wp:positionV>
            <wp:extent cx="7543165" cy="10972800"/>
            <wp:effectExtent l="0" t="0" r="63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43165" cy="10972800"/>
                    </a:xfrm>
                    <a:prstGeom prst="rect">
                      <a:avLst/>
                    </a:prstGeom>
                    <a:noFill/>
                    <a:ln>
                      <a:noFill/>
                    </a:ln>
                  </pic:spPr>
                </pic:pic>
              </a:graphicData>
            </a:graphic>
          </wp:anchor>
        </w:drawing>
      </w:r>
    </w:p>
    <w:p/>
    <w:p>
      <w:pPr>
        <w:sectPr>
          <w:pgSz w:w="11906" w:h="16838"/>
          <w:pgMar w:top="1440" w:right="1800" w:bottom="1440" w:left="1800" w:header="851" w:footer="992" w:gutter="0"/>
          <w:cols w:space="425" w:num="1"/>
          <w:docGrid w:type="lines" w:linePitch="312" w:charSpace="0"/>
        </w:sectPr>
      </w:pPr>
    </w:p>
    <w:p/>
    <w:p/>
    <w:p/>
    <w:p>
      <w:pPr>
        <w:ind w:left="-283" w:leftChars="-135" w:right="819" w:rightChars="390"/>
        <w:rPr>
          <w:b/>
          <w:bCs/>
        </w:rPr>
      </w:pPr>
      <w:r>
        <w:rPr>
          <w:rFonts w:hint="eastAsia" w:asciiTheme="minorEastAsia" w:hAnsiTheme="minorEastAsia"/>
          <w:b/>
          <w:bCs/>
        </w:rPr>
        <w:t>◎</w:t>
      </w:r>
      <w:r>
        <w:rPr>
          <w:rFonts w:hint="eastAsia"/>
          <w:b/>
          <w:bCs/>
        </w:rPr>
        <w:t xml:space="preserve"> </w:t>
      </w:r>
      <w:r>
        <w:rPr>
          <w:b/>
          <w:bCs/>
        </w:rPr>
        <w:t>丰富的专家资源</w:t>
      </w:r>
    </w:p>
    <w:p>
      <w:pPr>
        <w:ind w:left="-567" w:leftChars="-270" w:right="819" w:rightChars="390"/>
      </w:pPr>
      <w:r>
        <w:t xml:space="preserve">    </w:t>
      </w:r>
    </w:p>
    <w:p>
      <w:pPr>
        <w:ind w:left="-567" w:leftChars="-270" w:right="819" w:rightChars="390"/>
      </w:pPr>
      <w:r>
        <w:t xml:space="preserve">      我们拥有近百名国内外高校专家的智力资源，涵盖理工文法医五大领域，能够完全支持博士后申请者的专家推荐以及导师匹配需求</w:t>
      </w:r>
    </w:p>
    <w:p/>
    <w:p/>
    <w:p/>
    <w:p>
      <w:pPr>
        <w:pStyle w:val="9"/>
        <w:numPr>
          <w:ilvl w:val="0"/>
          <w:numId w:val="3"/>
        </w:numPr>
        <w:ind w:right="819" w:rightChars="390" w:firstLineChars="0"/>
        <w:rPr>
          <w:b/>
          <w:bCs/>
        </w:rPr>
      </w:pPr>
      <w:r>
        <w:rPr>
          <w:b/>
          <w:bCs/>
        </w:rPr>
        <w:t>灵活的科研支持</w:t>
      </w:r>
    </w:p>
    <w:p>
      <w:pPr>
        <w:ind w:left="-567" w:leftChars="-270" w:right="819" w:rightChars="390"/>
      </w:pPr>
      <w:r>
        <w:t xml:space="preserve">    </w:t>
      </w:r>
    </w:p>
    <w:p>
      <w:pPr>
        <w:ind w:left="-567" w:leftChars="-270" w:right="819" w:rightChars="390"/>
      </w:pPr>
      <w:r>
        <w:t xml:space="preserve">      对于科研经历不完善的申请人，我们可以帮助您申请或者匹配参加合适的科研项目组，快速优化您的科研经历和能力。</w:t>
      </w:r>
    </w:p>
    <w:p/>
    <w:p/>
    <w:p/>
    <w:p/>
    <w:p/>
    <w:p/>
    <w:p>
      <w:pPr>
        <w:pStyle w:val="9"/>
        <w:numPr>
          <w:ilvl w:val="0"/>
          <w:numId w:val="4"/>
        </w:numPr>
        <w:ind w:left="0" w:right="819" w:rightChars="390" w:firstLineChars="0"/>
      </w:pPr>
      <w:r>
        <w:rPr>
          <w:rFonts w:hint="eastAsia" w:asciiTheme="minorEastAsia" w:hAnsiTheme="minorEastAsia"/>
          <w:b/>
          <w:bCs/>
        </w:rPr>
        <w:t xml:space="preserve">◎ </w:t>
      </w:r>
      <w:r>
        <w:rPr>
          <w:b/>
          <w:bCs/>
        </w:rPr>
        <w:t>专业的论文策划</w:t>
      </w:r>
    </w:p>
    <w:p>
      <w:pPr>
        <w:ind w:left="-141" w:leftChars="-67" w:right="678" w:rightChars="323"/>
      </w:pPr>
      <w:r>
        <w:t xml:space="preserve">    </w:t>
      </w:r>
    </w:p>
    <w:p>
      <w:pPr>
        <w:ind w:left="-141" w:leftChars="-67" w:right="678" w:rightChars="323"/>
      </w:pPr>
      <w:r>
        <w:t xml:space="preserve">      对于资历不足的申请者，我们有资深的杂志审稿人，可以帮助您优化论文工作，帮助您精确定题、审稿润色，大幅度提高论文的命中率。</w:t>
      </w:r>
    </w:p>
    <w:p/>
    <w:p/>
    <w:p/>
    <w:p>
      <w:pPr>
        <w:ind w:left="-141" w:leftChars="-67" w:right="678" w:rightChars="323"/>
      </w:pPr>
      <w:r>
        <w:rPr>
          <w:rFonts w:hint="eastAsia"/>
        </w:rPr>
        <w:t> </w:t>
      </w:r>
      <w:r>
        <w:t xml:space="preserve"> </w:t>
      </w:r>
      <w:r>
        <w:rPr>
          <w:rFonts w:hint="eastAsia" w:asciiTheme="minorEastAsia" w:hAnsiTheme="minorEastAsia"/>
          <w:b/>
          <w:bCs/>
        </w:rPr>
        <w:t>◎</w:t>
      </w:r>
      <w:r>
        <w:rPr>
          <w:rFonts w:hint="eastAsia"/>
          <w:b/>
          <w:bCs/>
        </w:rPr>
        <w:t xml:space="preserve"> </w:t>
      </w:r>
      <w:r>
        <w:t xml:space="preserve"> </w:t>
      </w:r>
      <w:r>
        <w:rPr>
          <w:b/>
          <w:bCs/>
        </w:rPr>
        <w:t>完善的面试培训</w:t>
      </w:r>
    </w:p>
    <w:p>
      <w:pPr>
        <w:ind w:left="-141" w:leftChars="-67" w:right="678" w:rightChars="323"/>
      </w:pPr>
      <w:r>
        <w:t xml:space="preserve">    </w:t>
      </w:r>
    </w:p>
    <w:p>
      <w:pPr>
        <w:ind w:left="-141" w:leftChars="-67" w:right="678" w:rightChars="323"/>
      </w:pPr>
      <w:r>
        <w:t xml:space="preserve">      我们有经验丰富的面试老师，在进行境外导师远程面试前会为您安排健全的培训，提高面试通过率。</w:t>
      </w:r>
    </w:p>
    <w:p/>
    <w:p/>
    <w:p/>
    <w:p>
      <w:pPr>
        <w:sectPr>
          <w:type w:val="continuous"/>
          <w:pgSz w:w="11906" w:h="16838"/>
          <w:pgMar w:top="1440" w:right="1800" w:bottom="1440" w:left="1800" w:header="851" w:footer="992" w:gutter="0"/>
          <w:cols w:space="425" w:num="2"/>
          <w:docGrid w:type="lines" w:linePitch="312" w:charSpace="0"/>
        </w:sectPr>
      </w:pPr>
    </w:p>
    <w:p/>
    <w:p/>
    <w:p>
      <w:pPr>
        <w:rPr>
          <w:rFonts w:ascii="方正综艺简体" w:eastAsia="方正综艺简体"/>
          <w:sz w:val="24"/>
          <w:szCs w:val="24"/>
        </w:rPr>
      </w:pPr>
      <w:r>
        <w:rPr>
          <w:rFonts w:hint="eastAsia" w:ascii="方正综艺简体" w:eastAsia="方正综艺简体"/>
          <w:color w:val="FFFFFF" w:themeColor="background1"/>
          <w:sz w:val="24"/>
          <w:szCs w:val="24"/>
          <w14:textFill>
            <w14:solidFill>
              <w14:schemeClr w14:val="bg1"/>
            </w14:solidFill>
          </w14:textFill>
        </w:rPr>
        <w:t>我们的支持资源</w:t>
      </w:r>
    </w:p>
    <w:p/>
    <w:p/>
    <w:p/>
    <w:p/>
    <w:p/>
    <w:p/>
    <w:p/>
    <w:p/>
    <w:p/>
    <w:p/>
    <w:p/>
    <w:p/>
    <w:p/>
    <w:p/>
    <w:p/>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综艺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0E115020"/>
    <w:multiLevelType w:val="multilevel"/>
    <w:tmpl w:val="0E115020"/>
    <w:lvl w:ilvl="0" w:tentative="0">
      <w:start w:val="1"/>
      <w:numFmt w:val="bullet"/>
      <w:lvlText w:val=""/>
      <w:lvlJc w:val="left"/>
      <w:pPr>
        <w:ind w:left="1470" w:hanging="420"/>
      </w:pPr>
      <w:rPr>
        <w:rFonts w:hint="default" w:ascii="Wingdings" w:hAnsi="Wingdings"/>
      </w:rPr>
    </w:lvl>
    <w:lvl w:ilvl="1" w:tentative="0">
      <w:start w:val="1"/>
      <w:numFmt w:val="bullet"/>
      <w:lvlText w:val=""/>
      <w:lvlJc w:val="left"/>
      <w:pPr>
        <w:ind w:left="1890" w:hanging="420"/>
      </w:pPr>
      <w:rPr>
        <w:rFonts w:hint="default" w:ascii="Wingdings" w:hAnsi="Wingdings"/>
      </w:rPr>
    </w:lvl>
    <w:lvl w:ilvl="2" w:tentative="0">
      <w:start w:val="1"/>
      <w:numFmt w:val="bullet"/>
      <w:lvlText w:val=""/>
      <w:lvlJc w:val="left"/>
      <w:pPr>
        <w:ind w:left="2310" w:hanging="420"/>
      </w:pPr>
      <w:rPr>
        <w:rFonts w:hint="default" w:ascii="Wingdings" w:hAnsi="Wingdings"/>
      </w:rPr>
    </w:lvl>
    <w:lvl w:ilvl="3" w:tentative="0">
      <w:start w:val="1"/>
      <w:numFmt w:val="bullet"/>
      <w:lvlText w:val=""/>
      <w:lvlJc w:val="left"/>
      <w:pPr>
        <w:ind w:left="2730" w:hanging="420"/>
      </w:pPr>
      <w:rPr>
        <w:rFonts w:hint="default" w:ascii="Wingdings" w:hAnsi="Wingdings"/>
      </w:rPr>
    </w:lvl>
    <w:lvl w:ilvl="4" w:tentative="0">
      <w:start w:val="1"/>
      <w:numFmt w:val="bullet"/>
      <w:lvlText w:val=""/>
      <w:lvlJc w:val="left"/>
      <w:pPr>
        <w:ind w:left="3150" w:hanging="420"/>
      </w:pPr>
      <w:rPr>
        <w:rFonts w:hint="default" w:ascii="Wingdings" w:hAnsi="Wingdings"/>
      </w:rPr>
    </w:lvl>
    <w:lvl w:ilvl="5" w:tentative="0">
      <w:start w:val="1"/>
      <w:numFmt w:val="bullet"/>
      <w:lvlText w:val=""/>
      <w:lvlJc w:val="left"/>
      <w:pPr>
        <w:ind w:left="3570" w:hanging="420"/>
      </w:pPr>
      <w:rPr>
        <w:rFonts w:hint="default" w:ascii="Wingdings" w:hAnsi="Wingdings"/>
      </w:rPr>
    </w:lvl>
    <w:lvl w:ilvl="6" w:tentative="0">
      <w:start w:val="1"/>
      <w:numFmt w:val="bullet"/>
      <w:lvlText w:val=""/>
      <w:lvlJc w:val="left"/>
      <w:pPr>
        <w:ind w:left="3990" w:hanging="420"/>
      </w:pPr>
      <w:rPr>
        <w:rFonts w:hint="default" w:ascii="Wingdings" w:hAnsi="Wingdings"/>
      </w:rPr>
    </w:lvl>
    <w:lvl w:ilvl="7" w:tentative="0">
      <w:start w:val="1"/>
      <w:numFmt w:val="bullet"/>
      <w:lvlText w:val=""/>
      <w:lvlJc w:val="left"/>
      <w:pPr>
        <w:ind w:left="4410" w:hanging="420"/>
      </w:pPr>
      <w:rPr>
        <w:rFonts w:hint="default" w:ascii="Wingdings" w:hAnsi="Wingdings"/>
      </w:rPr>
    </w:lvl>
    <w:lvl w:ilvl="8" w:tentative="0">
      <w:start w:val="1"/>
      <w:numFmt w:val="bullet"/>
      <w:lvlText w:val=""/>
      <w:lvlJc w:val="left"/>
      <w:pPr>
        <w:ind w:left="4830" w:hanging="420"/>
      </w:pPr>
      <w:rPr>
        <w:rFonts w:hint="default" w:ascii="Wingdings" w:hAnsi="Wingdings"/>
      </w:rPr>
    </w:lvl>
  </w:abstractNum>
  <w:abstractNum w:abstractNumId="1">
    <w:nsid w:val="4B9F5FAD"/>
    <w:multiLevelType w:val="multilevel"/>
    <w:tmpl w:val="4B9F5FAD"/>
    <w:lvl w:ilvl="0" w:tentative="0">
      <w:start w:val="1"/>
      <w:numFmt w:val="bullet"/>
      <w:lvlText w:val=""/>
      <w:lvlPicBulletId w:val="1"/>
      <w:lvlJc w:val="left"/>
      <w:pPr>
        <w:ind w:left="60" w:hanging="420"/>
      </w:pPr>
      <w:rPr>
        <w:rFonts w:hint="default" w:ascii="Wingdings" w:hAnsi="Wingdings"/>
      </w:rPr>
    </w:lvl>
    <w:lvl w:ilvl="1" w:tentative="0">
      <w:start w:val="1"/>
      <w:numFmt w:val="bullet"/>
      <w:lvlText w:val=""/>
      <w:lvlJc w:val="left"/>
      <w:pPr>
        <w:ind w:left="480" w:hanging="420"/>
      </w:pPr>
      <w:rPr>
        <w:rFonts w:hint="default" w:ascii="Wingdings" w:hAnsi="Wingdings"/>
      </w:rPr>
    </w:lvl>
    <w:lvl w:ilvl="2" w:tentative="0">
      <w:start w:val="1"/>
      <w:numFmt w:val="bullet"/>
      <w:lvlText w:val=""/>
      <w:lvlJc w:val="left"/>
      <w:pPr>
        <w:ind w:left="900" w:hanging="420"/>
      </w:pPr>
      <w:rPr>
        <w:rFonts w:hint="default" w:ascii="Wingdings" w:hAnsi="Wingdings"/>
      </w:rPr>
    </w:lvl>
    <w:lvl w:ilvl="3" w:tentative="0">
      <w:start w:val="1"/>
      <w:numFmt w:val="bullet"/>
      <w:lvlText w:val=""/>
      <w:lvlJc w:val="left"/>
      <w:pPr>
        <w:ind w:left="1320" w:hanging="420"/>
      </w:pPr>
      <w:rPr>
        <w:rFonts w:hint="default" w:ascii="Wingdings" w:hAnsi="Wingdings"/>
      </w:rPr>
    </w:lvl>
    <w:lvl w:ilvl="4" w:tentative="0">
      <w:start w:val="1"/>
      <w:numFmt w:val="bullet"/>
      <w:lvlText w:val=""/>
      <w:lvlJc w:val="left"/>
      <w:pPr>
        <w:ind w:left="1740" w:hanging="420"/>
      </w:pPr>
      <w:rPr>
        <w:rFonts w:hint="default" w:ascii="Wingdings" w:hAnsi="Wingdings"/>
      </w:rPr>
    </w:lvl>
    <w:lvl w:ilvl="5" w:tentative="0">
      <w:start w:val="1"/>
      <w:numFmt w:val="bullet"/>
      <w:lvlText w:val=""/>
      <w:lvlJc w:val="left"/>
      <w:pPr>
        <w:ind w:left="2160" w:hanging="420"/>
      </w:pPr>
      <w:rPr>
        <w:rFonts w:hint="default" w:ascii="Wingdings" w:hAnsi="Wingdings"/>
      </w:rPr>
    </w:lvl>
    <w:lvl w:ilvl="6" w:tentative="0">
      <w:start w:val="1"/>
      <w:numFmt w:val="bullet"/>
      <w:lvlText w:val=""/>
      <w:lvlJc w:val="left"/>
      <w:pPr>
        <w:ind w:left="2580" w:hanging="420"/>
      </w:pPr>
      <w:rPr>
        <w:rFonts w:hint="default" w:ascii="Wingdings" w:hAnsi="Wingdings"/>
      </w:rPr>
    </w:lvl>
    <w:lvl w:ilvl="7" w:tentative="0">
      <w:start w:val="1"/>
      <w:numFmt w:val="bullet"/>
      <w:lvlText w:val=""/>
      <w:lvlJc w:val="left"/>
      <w:pPr>
        <w:ind w:left="3000" w:hanging="420"/>
      </w:pPr>
      <w:rPr>
        <w:rFonts w:hint="default" w:ascii="Wingdings" w:hAnsi="Wingdings"/>
      </w:rPr>
    </w:lvl>
    <w:lvl w:ilvl="8" w:tentative="0">
      <w:start w:val="1"/>
      <w:numFmt w:val="bullet"/>
      <w:lvlText w:val=""/>
      <w:lvlJc w:val="left"/>
      <w:pPr>
        <w:ind w:left="3420" w:hanging="420"/>
      </w:pPr>
      <w:rPr>
        <w:rFonts w:hint="default" w:ascii="Wingdings" w:hAnsi="Wingdings"/>
      </w:rPr>
    </w:lvl>
  </w:abstractNum>
  <w:abstractNum w:abstractNumId="2">
    <w:nsid w:val="4D6844DE"/>
    <w:multiLevelType w:val="multilevel"/>
    <w:tmpl w:val="4D6844DE"/>
    <w:lvl w:ilvl="0" w:tentative="0">
      <w:start w:val="0"/>
      <w:numFmt w:val="bullet"/>
      <w:lvlText w:val="◎"/>
      <w:lvlJc w:val="left"/>
      <w:pPr>
        <w:ind w:left="63" w:hanging="360"/>
      </w:pPr>
      <w:rPr>
        <w:rFonts w:hint="eastAsia" w:ascii="等线" w:hAnsi="等线" w:eastAsia="等线" w:cstheme="minorBidi"/>
        <w:b/>
      </w:rPr>
    </w:lvl>
    <w:lvl w:ilvl="1" w:tentative="0">
      <w:start w:val="1"/>
      <w:numFmt w:val="bullet"/>
      <w:lvlText w:val=""/>
      <w:lvlJc w:val="left"/>
      <w:pPr>
        <w:ind w:left="543" w:hanging="420"/>
      </w:pPr>
      <w:rPr>
        <w:rFonts w:hint="default" w:ascii="Wingdings" w:hAnsi="Wingdings"/>
      </w:rPr>
    </w:lvl>
    <w:lvl w:ilvl="2" w:tentative="0">
      <w:start w:val="1"/>
      <w:numFmt w:val="bullet"/>
      <w:lvlText w:val=""/>
      <w:lvlJc w:val="left"/>
      <w:pPr>
        <w:ind w:left="963" w:hanging="420"/>
      </w:pPr>
      <w:rPr>
        <w:rFonts w:hint="default" w:ascii="Wingdings" w:hAnsi="Wingdings"/>
      </w:rPr>
    </w:lvl>
    <w:lvl w:ilvl="3" w:tentative="0">
      <w:start w:val="1"/>
      <w:numFmt w:val="bullet"/>
      <w:lvlText w:val=""/>
      <w:lvlJc w:val="left"/>
      <w:pPr>
        <w:ind w:left="1383" w:hanging="420"/>
      </w:pPr>
      <w:rPr>
        <w:rFonts w:hint="default" w:ascii="Wingdings" w:hAnsi="Wingdings"/>
      </w:rPr>
    </w:lvl>
    <w:lvl w:ilvl="4" w:tentative="0">
      <w:start w:val="1"/>
      <w:numFmt w:val="bullet"/>
      <w:lvlText w:val=""/>
      <w:lvlJc w:val="left"/>
      <w:pPr>
        <w:ind w:left="1803" w:hanging="420"/>
      </w:pPr>
      <w:rPr>
        <w:rFonts w:hint="default" w:ascii="Wingdings" w:hAnsi="Wingdings"/>
      </w:rPr>
    </w:lvl>
    <w:lvl w:ilvl="5" w:tentative="0">
      <w:start w:val="1"/>
      <w:numFmt w:val="bullet"/>
      <w:lvlText w:val=""/>
      <w:lvlJc w:val="left"/>
      <w:pPr>
        <w:ind w:left="2223" w:hanging="420"/>
      </w:pPr>
      <w:rPr>
        <w:rFonts w:hint="default" w:ascii="Wingdings" w:hAnsi="Wingdings"/>
      </w:rPr>
    </w:lvl>
    <w:lvl w:ilvl="6" w:tentative="0">
      <w:start w:val="1"/>
      <w:numFmt w:val="bullet"/>
      <w:lvlText w:val=""/>
      <w:lvlJc w:val="left"/>
      <w:pPr>
        <w:ind w:left="2643" w:hanging="420"/>
      </w:pPr>
      <w:rPr>
        <w:rFonts w:hint="default" w:ascii="Wingdings" w:hAnsi="Wingdings"/>
      </w:rPr>
    </w:lvl>
    <w:lvl w:ilvl="7" w:tentative="0">
      <w:start w:val="1"/>
      <w:numFmt w:val="bullet"/>
      <w:lvlText w:val=""/>
      <w:lvlJc w:val="left"/>
      <w:pPr>
        <w:ind w:left="3063" w:hanging="420"/>
      </w:pPr>
      <w:rPr>
        <w:rFonts w:hint="default" w:ascii="Wingdings" w:hAnsi="Wingdings"/>
      </w:rPr>
    </w:lvl>
    <w:lvl w:ilvl="8" w:tentative="0">
      <w:start w:val="1"/>
      <w:numFmt w:val="bullet"/>
      <w:lvlText w:val=""/>
      <w:lvlJc w:val="left"/>
      <w:pPr>
        <w:ind w:left="3483" w:hanging="420"/>
      </w:pPr>
      <w:rPr>
        <w:rFonts w:hint="default" w:ascii="Wingdings" w:hAnsi="Wingdings"/>
      </w:rPr>
    </w:lvl>
  </w:abstractNum>
  <w:abstractNum w:abstractNumId="3">
    <w:nsid w:val="730A06A2"/>
    <w:multiLevelType w:val="multilevel"/>
    <w:tmpl w:val="730A06A2"/>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4ED"/>
    <w:rsid w:val="000A2E9B"/>
    <w:rsid w:val="000A69C0"/>
    <w:rsid w:val="00292F31"/>
    <w:rsid w:val="002F2050"/>
    <w:rsid w:val="00462C76"/>
    <w:rsid w:val="004F17EB"/>
    <w:rsid w:val="006E2690"/>
    <w:rsid w:val="007C577C"/>
    <w:rsid w:val="00921AEC"/>
    <w:rsid w:val="00933AB0"/>
    <w:rsid w:val="009D5FC3"/>
    <w:rsid w:val="00AF44ED"/>
    <w:rsid w:val="00C75487"/>
    <w:rsid w:val="00D92BFD"/>
    <w:rsid w:val="00DB5D0C"/>
    <w:rsid w:val="00E043FB"/>
    <w:rsid w:val="00F85F71"/>
    <w:rsid w:val="111940A3"/>
    <w:rsid w:val="27210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uiPriority w:val="99"/>
    <w:rPr>
      <w:sz w:val="18"/>
      <w:szCs w:val="18"/>
    </w:rPr>
  </w:style>
  <w:style w:type="character" w:customStyle="1" w:styleId="8">
    <w:name w:val="页脚 字符"/>
    <w:basedOn w:val="6"/>
    <w:link w:val="2"/>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358</Words>
  <Characters>2043</Characters>
  <Lines>17</Lines>
  <Paragraphs>4</Paragraphs>
  <TotalTime>81</TotalTime>
  <ScaleCrop>false</ScaleCrop>
  <LinksUpToDate>false</LinksUpToDate>
  <CharactersWithSpaces>2397</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2019-10-26T15:19:00Z</dcterms:created>
  <dc:creator>zhang deckon</dc:creator>
  <cp:lastModifiedBy>律诗小泽</cp:lastModifiedBy>
  <dcterms:modified xsi:type="dcterms:W3CDTF">2019-11-12T09:46:02Z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