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3E" w:rsidRDefault="009B4A3E"/>
    <w:p w:rsidR="009B4A3E" w:rsidRDefault="009B4A3E"/>
    <w:p w:rsidR="009B4A3E" w:rsidRDefault="009B4A3E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p w:rsidR="009B4A3E" w:rsidRDefault="00E65743">
      <w:pPr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中国CFO财务总监高级研修班</w:t>
      </w: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b/>
          <w:spacing w:val="20"/>
          <w:szCs w:val="21"/>
        </w:rPr>
      </w:pPr>
    </w:p>
    <w:p w:rsidR="009B4A3E" w:rsidRDefault="009B4A3E">
      <w:pPr>
        <w:spacing w:line="400" w:lineRule="exact"/>
        <w:ind w:leftChars="-202" w:left="-424"/>
        <w:jc w:val="left"/>
        <w:rPr>
          <w:rFonts w:ascii="微软雅黑" w:eastAsia="微软雅黑" w:hAnsi="微软雅黑"/>
          <w:b/>
          <w:spacing w:val="20"/>
          <w:sz w:val="28"/>
          <w:szCs w:val="28"/>
        </w:rPr>
      </w:pPr>
    </w:p>
    <w:p w:rsidR="009B4A3E" w:rsidRDefault="00E65743">
      <w:pPr>
        <w:spacing w:line="400" w:lineRule="exact"/>
        <w:ind w:leftChars="-202" w:left="-424"/>
        <w:jc w:val="left"/>
        <w:rPr>
          <w:rFonts w:ascii="微软雅黑" w:eastAsia="微软雅黑" w:hAnsi="微软雅黑"/>
          <w:b/>
          <w:spacing w:val="20"/>
          <w:sz w:val="28"/>
          <w:szCs w:val="28"/>
        </w:rPr>
      </w:pPr>
      <w:r>
        <w:rPr>
          <w:rFonts w:ascii="微软雅黑" w:eastAsia="微软雅黑" w:hAnsi="微软雅黑" w:hint="eastAsia"/>
          <w:b/>
          <w:spacing w:val="20"/>
          <w:sz w:val="28"/>
          <w:szCs w:val="28"/>
        </w:rPr>
        <w:t>如何成为一名合格的财务总监？</w:t>
      </w:r>
    </w:p>
    <w:p w:rsidR="009B4A3E" w:rsidRDefault="00E65743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 w:val="28"/>
          <w:szCs w:val="28"/>
        </w:rPr>
      </w:pPr>
      <w:r>
        <w:rPr>
          <w:rFonts w:ascii="微软雅黑" w:eastAsia="微软雅黑" w:hAnsi="微软雅黑"/>
          <w:noProof/>
          <w:spacing w:val="20"/>
          <w:sz w:val="28"/>
          <w:szCs w:val="28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224790</wp:posOffset>
            </wp:positionV>
            <wp:extent cx="5238750" cy="3095625"/>
            <wp:effectExtent l="19050" t="0" r="0" b="0"/>
            <wp:wrapNone/>
            <wp:docPr id="5" name="图片 4" descr="前言图片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前言图片-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8"/>
          <w:szCs w:val="28"/>
        </w:rPr>
      </w:pPr>
    </w:p>
    <w:p w:rsidR="009B4A3E" w:rsidRDefault="00E65743">
      <w:pPr>
        <w:spacing w:line="400" w:lineRule="exact"/>
        <w:ind w:leftChars="-202" w:left="-424"/>
        <w:jc w:val="left"/>
        <w:rPr>
          <w:rFonts w:ascii="微软雅黑" w:eastAsia="微软雅黑" w:hAnsi="微软雅黑"/>
          <w:b/>
          <w:spacing w:val="20"/>
          <w:sz w:val="28"/>
          <w:szCs w:val="28"/>
        </w:rPr>
      </w:pPr>
      <w:r>
        <w:rPr>
          <w:rFonts w:ascii="微软雅黑" w:eastAsia="微软雅黑" w:hAnsi="微软雅黑" w:hint="eastAsia"/>
          <w:b/>
          <w:spacing w:val="20"/>
          <w:sz w:val="28"/>
          <w:szCs w:val="28"/>
        </w:rPr>
        <w:t>来财务总监班你能学到什么？</w:t>
      </w: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E65743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/>
          <w:noProof/>
          <w:spacing w:val="20"/>
          <w:szCs w:val="21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8890</wp:posOffset>
            </wp:positionV>
            <wp:extent cx="5734050" cy="2047875"/>
            <wp:effectExtent l="19050" t="0" r="0" b="0"/>
            <wp:wrapNone/>
            <wp:docPr id="23" name="图片 22" descr="前言图片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前言图片-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E65743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【核心价值】</w:t>
      </w:r>
    </w:p>
    <w:p w:rsidR="009B4A3E" w:rsidRDefault="00E65743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/>
          <w:noProof/>
          <w:spacing w:val="20"/>
          <w:szCs w:val="21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187325</wp:posOffset>
            </wp:positionV>
            <wp:extent cx="6029325" cy="2905125"/>
            <wp:effectExtent l="19050" t="0" r="9525" b="0"/>
            <wp:wrapNone/>
            <wp:docPr id="3" name="图片 2" descr="核心特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核心特色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b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E65743">
      <w:pPr>
        <w:spacing w:line="500" w:lineRule="exact"/>
        <w:ind w:leftChars="-67" w:left="-141"/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【课程体系】</w:t>
      </w:r>
    </w:p>
    <w:tbl>
      <w:tblPr>
        <w:tblStyle w:val="a6"/>
        <w:tblW w:w="9215" w:type="dxa"/>
        <w:tblInd w:w="-318" w:type="dxa"/>
        <w:tblLayout w:type="fixed"/>
        <w:tblLook w:val="04A0"/>
      </w:tblPr>
      <w:tblGrid>
        <w:gridCol w:w="9215"/>
      </w:tblGrid>
      <w:tr w:rsidR="009B4A3E" w:rsidTr="009B4A3E">
        <w:trPr>
          <w:cnfStyle w:val="100000000000"/>
          <w:trHeight w:val="402"/>
        </w:trPr>
        <w:tc>
          <w:tcPr>
            <w:tcW w:w="9215" w:type="dxa"/>
          </w:tcPr>
          <w:p w:rsidR="009B4A3E" w:rsidRDefault="00E65743">
            <w:pPr>
              <w:spacing w:line="390" w:lineRule="exact"/>
              <w:outlineLvl w:val="0"/>
              <w:rPr>
                <w:rFonts w:ascii="微软雅黑" w:eastAsia="微软雅黑" w:hAnsi="微软雅黑" w:cs="Times New Roman"/>
                <w:b w:val="0"/>
                <w:bCs w:val="0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Cs w:val="0"/>
                <w:color w:val="000000" w:themeColor="text1"/>
                <w:spacing w:val="30"/>
                <w:kern w:val="0"/>
                <w:sz w:val="24"/>
                <w:szCs w:val="20"/>
              </w:rPr>
              <w:t>一、企业财务战略管控</w:t>
            </w:r>
          </w:p>
        </w:tc>
      </w:tr>
      <w:tr w:rsidR="009B4A3E" w:rsidTr="009B4A3E">
        <w:trPr>
          <w:trHeight w:val="23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tabs>
                <w:tab w:val="left" w:pos="1290"/>
              </w:tabs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第一模块：企业财务与商业模式</w:t>
            </w:r>
            <w:r>
              <w:rPr>
                <w:rFonts w:ascii="微软雅黑" w:eastAsia="微软雅黑" w:hAnsi="微软雅黑" w:cs="Times New Roman"/>
                <w:b/>
                <w:kern w:val="0"/>
                <w:sz w:val="22"/>
              </w:rPr>
              <w:tab/>
            </w:r>
          </w:p>
        </w:tc>
      </w:tr>
      <w:tr w:rsidR="009B4A3E" w:rsidTr="009B4A3E">
        <w:trPr>
          <w:trHeight w:val="112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现代商业模式概述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典型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>商业模式分析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比较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商业模式的设计与操作</w:t>
            </w:r>
          </w:p>
          <w:p w:rsidR="009B4A3E" w:rsidRDefault="00E65743">
            <w:pPr>
              <w:tabs>
                <w:tab w:val="left" w:pos="663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投资角度的商业模式创新</w:t>
            </w:r>
          </w:p>
        </w:tc>
      </w:tr>
      <w:tr w:rsidR="009B4A3E" w:rsidTr="009B4A3E">
        <w:trPr>
          <w:trHeight w:val="445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第二模块：企业财务战略管控</w:t>
            </w:r>
          </w:p>
        </w:tc>
      </w:tr>
      <w:tr w:rsidR="009B4A3E" w:rsidTr="009B4A3E">
        <w:trPr>
          <w:trHeight w:val="445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集团公司管理与变革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集团战略与财务战略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集团核心职能管控体系构建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集团财务管控实战策划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集团财务管控制度设计</w:t>
            </w:r>
          </w:p>
        </w:tc>
      </w:tr>
      <w:tr w:rsidR="009B4A3E" w:rsidTr="009B4A3E">
        <w:trPr>
          <w:trHeight w:val="338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BFBFBF" w:themeFill="background1" w:themeFillShade="BF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二、财税实务管理</w:t>
            </w:r>
          </w:p>
        </w:tc>
      </w:tr>
      <w:tr w:rsidR="009B4A3E" w:rsidTr="009B4A3E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第一模块：企业税务战略规划</w:t>
            </w:r>
          </w:p>
        </w:tc>
      </w:tr>
      <w:tr w:rsidR="009B4A3E" w:rsidTr="009B4A3E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税收筹划的基本理论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税务筹划体系的建立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>3. 所得税筹划的具体操作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企业所得税的汇算清缴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增值税纳税筹划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增值税纳税筹划的具体操作</w:t>
            </w:r>
          </w:p>
        </w:tc>
      </w:tr>
      <w:tr w:rsidR="009B4A3E" w:rsidTr="009B4A3E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lastRenderedPageBreak/>
              <w:t>第二模块：并购重组中的财税管理</w:t>
            </w:r>
          </w:p>
        </w:tc>
      </w:tr>
      <w:tr w:rsidR="009B4A3E" w:rsidTr="009B4A3E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企业股权投资、重组中的税收政策分析与税务问题处理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企业重组过程中主要的涉及的税种框架和主要政策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股权收购的会计处理与税务规划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企业合并会计与税务处理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企业分立的会计与税务处理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债务重组的会计处理与税务规划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7. 企业并购涉及的增值税、营业税、契税等税务问题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8. 讨论：证监会近期出台新规对企业及财务的影响</w:t>
            </w:r>
          </w:p>
        </w:tc>
      </w:tr>
      <w:tr w:rsidR="009B4A3E" w:rsidTr="009B4A3E">
        <w:trPr>
          <w:trHeight w:val="491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三、财务内部价值提升</w:t>
            </w:r>
          </w:p>
        </w:tc>
      </w:tr>
      <w:tr w:rsidR="009B4A3E" w:rsidTr="009B4A3E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第一模块：全面预算与业绩评价</w:t>
            </w:r>
          </w:p>
        </w:tc>
      </w:tr>
      <w:tr w:rsidR="009B4A3E" w:rsidTr="009B4A3E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预算管理综合介绍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预算目标的确定与分解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预算组织的建立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预算编制中的管理要点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预算执行中的管理要点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预算跟踪与考核的管理要点</w:t>
            </w:r>
          </w:p>
        </w:tc>
      </w:tr>
      <w:tr w:rsidR="009B4A3E" w:rsidTr="009B4A3E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第二模块：价值链分析与战略成本管理</w:t>
            </w:r>
          </w:p>
        </w:tc>
      </w:tr>
      <w:tr w:rsidR="009B4A3E" w:rsidTr="009B4A3E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企业价值链分析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行业价值链分析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竞争对手价值链分析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企业成本战略设计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作业成本法与作业成本管理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成本管理手段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7. 成本控制的绩效评估</w:t>
            </w:r>
          </w:p>
        </w:tc>
      </w:tr>
      <w:tr w:rsidR="009B4A3E" w:rsidTr="009B4A3E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第三模块：企业内部控制与风险管理</w:t>
            </w:r>
          </w:p>
        </w:tc>
      </w:tr>
      <w:tr w:rsidR="009B4A3E" w:rsidTr="009B4A3E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企业风险管理概述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>2. 如何建立有效的内部控制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企业财务预警体系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企业内部信息传递</w:t>
            </w:r>
          </w:p>
        </w:tc>
      </w:tr>
      <w:tr w:rsidR="009B4A3E" w:rsidTr="009B4A3E">
        <w:trPr>
          <w:trHeight w:val="434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9B4A3E" w:rsidRDefault="00E65743">
            <w:pPr>
              <w:spacing w:line="39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lastRenderedPageBreak/>
              <w:t>四、投融资与公司理财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第一模块：企业融资策划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企业内部融资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民间融资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银行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租赁融资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风险投资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股票市场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第二模块：现金流与资金管理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现金流量与营运资本分析</w:t>
            </w:r>
          </w:p>
          <w:p w:rsidR="009B4A3E" w:rsidRDefault="00E65743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现金流量的量化计算</w:t>
            </w:r>
          </w:p>
          <w:p w:rsidR="009B4A3E" w:rsidRDefault="00E65743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企业现金流入管理</w:t>
            </w:r>
          </w:p>
          <w:p w:rsidR="009B4A3E" w:rsidRDefault="00E65743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企业现金流出管理</w:t>
            </w:r>
          </w:p>
          <w:p w:rsidR="009B4A3E" w:rsidRDefault="00E65743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现金流量规划预测</w:t>
            </w:r>
          </w:p>
          <w:p w:rsidR="009B4A3E" w:rsidRDefault="00E65743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现金流量的量化分析</w:t>
            </w:r>
          </w:p>
        </w:tc>
      </w:tr>
      <w:tr w:rsidR="009B4A3E" w:rsidTr="009B4A3E">
        <w:trPr>
          <w:trHeight w:val="427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Arial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五、资本运营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第一模块：IPO及财务规范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企业上市过程主要会计工作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IPO常用会计政策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IPO与新会计准则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收入确认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资金管理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旧账清理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7. 股份支付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8. 出资问题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9. 股本规模、股本结构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10. 上市前资产与业务重组财务处理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11. 各种财务不规范问题处理方法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12. 业绩连续计算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lastRenderedPageBreak/>
              <w:t>第二模块：私募股权融资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私募股权与风险投资概论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私募股权基金投资纲要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股权融资策划及案例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企业价值评估的途径与方法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风险投资与企业估值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第三模块：不确定环境下的商业决策与企业的收购兼并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不确定环境下的决策制定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全球并购大趋势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并购的动机及风险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并购所牵涉的各方利益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并购的过程与业绩评估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并购中的估值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7. 中国企业海外并购的机遇和陷阱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8. 反向并购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第四模块：互联网时代的金融风险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什么是金融、中国式金融、互联网金融？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网上金融产品销售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互联网金融与金融互联网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互联网金融的未来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外汇衍生工具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国际金融中的平价关系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7. 识别风险及估算其规模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8. 管理及控制国际贸易与国际投/融资带来的外汇风险</w:t>
            </w:r>
          </w:p>
        </w:tc>
      </w:tr>
      <w:tr w:rsidR="009B4A3E" w:rsidTr="009B4A3E">
        <w:trPr>
          <w:trHeight w:val="52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A6A6A6" w:themeFill="background1" w:themeFillShade="A6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六、CFO管理经验交流</w:t>
            </w:r>
          </w:p>
        </w:tc>
      </w:tr>
      <w:tr w:rsidR="009B4A3E" w:rsidTr="009B4A3E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第一模块：CFO的角色定位</w:t>
            </w:r>
          </w:p>
        </w:tc>
      </w:tr>
      <w:tr w:rsidR="009B4A3E" w:rsidTr="009B4A3E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新环境下CFO定位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CFO对所面临的挑战和主要职责的认知差异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CFO 与 CEO战略伙伴关系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CFO职业生涯规划</w:t>
            </w:r>
          </w:p>
        </w:tc>
      </w:tr>
      <w:tr w:rsidR="009B4A3E" w:rsidTr="009B4A3E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第二模块：企业财务商法规划</w:t>
            </w:r>
          </w:p>
        </w:tc>
      </w:tr>
      <w:tr w:rsidR="009B4A3E" w:rsidTr="009B4A3E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公司法与合同法的要点及应用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>2. 消除设计、撰写、签署等合同的“风险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仲裁、担保法的要点及应用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刑法的相关应用</w:t>
            </w:r>
          </w:p>
        </w:tc>
      </w:tr>
    </w:tbl>
    <w:p w:rsidR="00454501" w:rsidRDefault="00454501">
      <w:pPr>
        <w:ind w:leftChars="-202" w:left="-424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E65743">
      <w:pPr>
        <w:ind w:leftChars="-202" w:left="-424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【部分师资】</w:t>
      </w:r>
    </w:p>
    <w:p w:rsidR="009B4A3E" w:rsidRDefault="004545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200025</wp:posOffset>
            </wp:positionV>
            <wp:extent cx="929640" cy="1296035"/>
            <wp:effectExtent l="57150" t="19050" r="80010" b="56515"/>
            <wp:wrapNone/>
            <wp:docPr id="9" name="图片 8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29603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142875</wp:posOffset>
            </wp:positionV>
            <wp:extent cx="981075" cy="1369695"/>
            <wp:effectExtent l="57150" t="19050" r="85725" b="59055"/>
            <wp:wrapNone/>
            <wp:docPr id="8" name="图片 7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6969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9557C">
        <w:rPr>
          <w:rFonts w:ascii="微软雅黑" w:eastAsia="微软雅黑" w:hAnsi="微软雅黑"/>
          <w:spacing w:val="2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53.2pt;margin-top:14.7pt;width:149.6pt;height:97.2pt;z-index:25167462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赵龙凯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北京大学光华管理学院金融系 副教授</w:t>
                  </w:r>
                </w:p>
              </w:txbxContent>
            </v:textbox>
          </v:shape>
        </w:pict>
      </w:r>
      <w:r w:rsidR="0059557C">
        <w:rPr>
          <w:rFonts w:ascii="微软雅黑" w:eastAsia="微软雅黑" w:hAnsi="微软雅黑"/>
          <w:spacing w:val="20"/>
          <w:sz w:val="24"/>
          <w:szCs w:val="24"/>
        </w:rPr>
        <w:pict>
          <v:shape id="_x0000_s2062" type="#_x0000_t202" style="position:absolute;margin-left:306.1pt;margin-top:19.85pt;width:149.6pt;height:97.2pt;z-index:25167564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肖星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清华大学经济管理学院会计系 主任</w:t>
                  </w:r>
                </w:p>
              </w:txbxContent>
            </v:textbox>
          </v:shape>
        </w:pict>
      </w: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4545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62865</wp:posOffset>
            </wp:positionV>
            <wp:extent cx="977265" cy="1361440"/>
            <wp:effectExtent l="57150" t="19050" r="70485" b="48260"/>
            <wp:wrapNone/>
            <wp:docPr id="7" name="图片 6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36144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62865</wp:posOffset>
            </wp:positionV>
            <wp:extent cx="971550" cy="1352550"/>
            <wp:effectExtent l="57150" t="19050" r="76200" b="57150"/>
            <wp:wrapNone/>
            <wp:docPr id="6" name="图片 5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5255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9557C">
        <w:rPr>
          <w:rFonts w:ascii="微软雅黑" w:eastAsia="微软雅黑" w:hAnsi="微软雅黑"/>
          <w:spacing w:val="20"/>
          <w:sz w:val="24"/>
          <w:szCs w:val="24"/>
        </w:rPr>
        <w:pict>
          <v:shape id="_x0000_s2066" type="#_x0000_t202" style="position:absolute;margin-left:306.2pt;margin-top:18.3pt;width:149.6pt;height:97.2pt;z-index:25167974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冯科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 副教授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北京大学光华管理学院博士生导师</w:t>
                  </w:r>
                </w:p>
              </w:txbxContent>
            </v:textbox>
          </v:shape>
        </w:pict>
      </w:r>
      <w:r w:rsidR="0059557C">
        <w:rPr>
          <w:rFonts w:ascii="微软雅黑" w:eastAsia="微软雅黑" w:hAnsi="微软雅黑"/>
          <w:spacing w:val="20"/>
          <w:sz w:val="24"/>
          <w:szCs w:val="24"/>
        </w:rPr>
        <w:pict>
          <v:shape id="_x0000_s2065" type="#_x0000_t202" style="position:absolute;margin-left:53.2pt;margin-top:17.5pt;width:149.6pt;height:97.2pt;z-index:25167872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周立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清华大学经济管理学院会计系 教授</w:t>
                  </w:r>
                </w:p>
              </w:txbxContent>
            </v:textbox>
          </v:shape>
        </w:pict>
      </w: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59557C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2070" type="#_x0000_t202" style="position:absolute;margin-left:305.45pt;margin-top:12.5pt;width:149.6pt;height:97.2pt;z-index:251683840;mso-height-percent:200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陆正华 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华南理工大学工商管理学院副教授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注册会计师（CPA）</w:t>
                  </w:r>
                </w:p>
              </w:txbxContent>
            </v:textbox>
          </v:shape>
        </w:pict>
      </w:r>
      <w:r w:rsidR="00454501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49530</wp:posOffset>
            </wp:positionV>
            <wp:extent cx="974090" cy="1357630"/>
            <wp:effectExtent l="57150" t="19050" r="73660" b="52070"/>
            <wp:wrapNone/>
            <wp:docPr id="18" name="图片 17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霍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35763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2069" type="#_x0000_t202" style="position:absolute;margin-left:54.7pt;margin-top:13.5pt;width:149.6pt;height:111.8pt;z-index:251682816;mso-position-horizontal-relative:text;mso-position-vertical-relative:text;mso-width-relative:margin;mso-height-relative:margin" filled="f" stroked="f">
            <v:textbox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刘娥平 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中山大学金融投资研究中心主任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中山大学管理学院教授</w:t>
                  </w:r>
                </w:p>
              </w:txbxContent>
            </v:textbox>
          </v:shape>
        </w:pict>
      </w:r>
      <w:r w:rsidR="00E65743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43815</wp:posOffset>
            </wp:positionV>
            <wp:extent cx="1009650" cy="1405890"/>
            <wp:effectExtent l="57150" t="19050" r="76200" b="60960"/>
            <wp:wrapNone/>
            <wp:docPr id="17" name="图片 16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霍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0589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4545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83820</wp:posOffset>
            </wp:positionV>
            <wp:extent cx="1005840" cy="1400175"/>
            <wp:effectExtent l="57150" t="19050" r="80010" b="66675"/>
            <wp:wrapNone/>
            <wp:docPr id="4" name="图片 3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0017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9557C">
        <w:rPr>
          <w:rFonts w:ascii="微软雅黑" w:eastAsia="微软雅黑" w:hAnsi="微软雅黑"/>
          <w:spacing w:val="20"/>
          <w:sz w:val="24"/>
          <w:szCs w:val="24"/>
        </w:rPr>
        <w:pict>
          <v:shape id="_x0000_s2073" type="#_x0000_t202" style="position:absolute;margin-left:54.7pt;margin-top:8.85pt;width:149.6pt;height:79.2pt;z-index:25168691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丁志国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吉林大学商学院金融学教授、博士生导师</w:t>
                  </w:r>
                </w:p>
              </w:txbxContent>
            </v:textbox>
          </v:shape>
        </w:pict>
      </w:r>
      <w:r w:rsidR="00E65743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68580</wp:posOffset>
            </wp:positionV>
            <wp:extent cx="1005840" cy="1400175"/>
            <wp:effectExtent l="57150" t="19050" r="80010" b="66675"/>
            <wp:wrapNone/>
            <wp:docPr id="21" name="图片 20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霍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0017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9557C">
        <w:rPr>
          <w:rFonts w:ascii="微软雅黑" w:eastAsia="微软雅黑" w:hAnsi="微软雅黑"/>
          <w:spacing w:val="20"/>
          <w:sz w:val="24"/>
          <w:szCs w:val="24"/>
        </w:rPr>
        <w:pict>
          <v:shape id="_x0000_s2074" type="#_x0000_t202" style="position:absolute;margin-left:306.2pt;margin-top:6.85pt;width:149.6pt;height:97.2pt;z-index:2516879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赵仲杰 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中国注册会计师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注册税务师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国内著名实战型财税专家</w:t>
                  </w:r>
                </w:p>
              </w:txbxContent>
            </v:textbox>
          </v:shape>
        </w:pict>
      </w: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59557C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2077" type="#_x0000_t202" style="position:absolute;margin-left:55.45pt;margin-top:8.15pt;width:149.6pt;height:115.2pt;z-index:251691008;mso-height-percent:200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裴章先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实战派高级培训师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沙盘培训专家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中国沙盘模拟实战教学研究院副院长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2078" type="#_x0000_t202" style="position:absolute;margin-left:309.4pt;margin-top:6.55pt;width:149.6pt;height:97.2pt;z-index:251838464;mso-height-percent:200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袁立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资深投资银行家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北京化工大学经济管理学院 教授</w:t>
                  </w:r>
                </w:p>
              </w:txbxContent>
            </v:textbox>
          </v:shape>
        </w:pict>
      </w:r>
      <w:r w:rsidR="00454501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108585</wp:posOffset>
            </wp:positionV>
            <wp:extent cx="1057275" cy="1473200"/>
            <wp:effectExtent l="57150" t="19050" r="85725" b="50800"/>
            <wp:wrapNone/>
            <wp:docPr id="1" name="图片 0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732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E65743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121920</wp:posOffset>
            </wp:positionV>
            <wp:extent cx="1019175" cy="1415415"/>
            <wp:effectExtent l="57150" t="19050" r="85725" b="51435"/>
            <wp:wrapNone/>
            <wp:docPr id="22" name="图片 21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霍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1541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454501" w:rsidRDefault="00454501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E65743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【招生对象】</w:t>
      </w:r>
    </w:p>
    <w:p w:rsidR="009B4A3E" w:rsidRDefault="00E65743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企事业单位总会计师、财务部长、财务总监、财务主管、战略投融资等财经业内人士；董事长、董事、总裁、总经理、副总等企业财务决策和管理者。</w:t>
      </w:r>
    </w:p>
    <w:p w:rsidR="009B4A3E" w:rsidRDefault="009B4A3E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E65743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【学习安排】</w:t>
      </w:r>
    </w:p>
    <w:p w:rsidR="009B4A3E" w:rsidRDefault="00E65743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学制一年，每两月集中授课2-3天</w:t>
      </w:r>
    </w:p>
    <w:p w:rsidR="009B4A3E" w:rsidRDefault="009B4A3E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E65743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【学习费用】</w:t>
      </w:r>
    </w:p>
    <w:p w:rsidR="009B4A3E" w:rsidRDefault="00E65743" w:rsidP="0001105B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2018 RMB 2万元/人（学员学习期间的食宿费、交通费自理）</w:t>
      </w:r>
    </w:p>
    <w:p w:rsidR="0001105B" w:rsidRDefault="0071542F" w:rsidP="0001105B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报名电话 ： 李京 18210525661  微信：L48822846 </w:t>
      </w:r>
    </w:p>
    <w:p w:rsidR="0071542F" w:rsidRPr="0001105B" w:rsidRDefault="0071542F" w:rsidP="0001105B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6B3DA9" w:rsidRDefault="006B3DA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B3DA9" w:rsidRDefault="006B3DA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B3DA9" w:rsidRDefault="006B3DA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B3DA9" w:rsidRDefault="006B3DA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B3DA9" w:rsidRDefault="006B3DA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B3DA9" w:rsidRDefault="006B3DA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B3DA9" w:rsidRDefault="006B3DA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B3DA9" w:rsidRDefault="006B3DA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6B3DA9" w:rsidRDefault="006B3DA9" w:rsidP="006B3DA9">
      <w:pPr>
        <w:spacing w:line="3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学籍登记表</w:t>
      </w:r>
    </w:p>
    <w:tbl>
      <w:tblPr>
        <w:tblpPr w:leftFromText="180" w:rightFromText="180" w:vertAnchor="text" w:horzAnchor="margin" w:tblpXSpec="center" w:tblpY="7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09"/>
        <w:gridCol w:w="1842"/>
        <w:gridCol w:w="284"/>
        <w:gridCol w:w="850"/>
        <w:gridCol w:w="1701"/>
        <w:gridCol w:w="426"/>
        <w:gridCol w:w="708"/>
        <w:gridCol w:w="1560"/>
      </w:tblGrid>
      <w:tr w:rsidR="006B3DA9" w:rsidTr="001A232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ascii="宋体" w:hAnsi="宋体" w:hint="eastAsia"/>
                <w:szCs w:val="21"/>
              </w:rPr>
              <w:t>所报班级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A9" w:rsidRDefault="006B3DA9" w:rsidP="001A232B"/>
        </w:tc>
      </w:tr>
      <w:tr w:rsidR="006B3DA9" w:rsidTr="001A232B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B3DA9" w:rsidRDefault="006B3DA9" w:rsidP="001A232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个人资料</w:t>
            </w:r>
          </w:p>
        </w:tc>
      </w:tr>
      <w:tr w:rsidR="006B3DA9" w:rsidTr="001A232B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A9" w:rsidRDefault="006B3DA9" w:rsidP="001A232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 w:rsidR="006B3DA9" w:rsidRDefault="006B3DA9" w:rsidP="001A232B">
            <w:pPr>
              <w:jc w:val="center"/>
            </w:pPr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A9" w:rsidRDefault="006B3DA9" w:rsidP="001A232B"/>
        </w:tc>
      </w:tr>
      <w:tr w:rsidR="006B3DA9" w:rsidTr="001A232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3DA9" w:rsidRDefault="0059557C" w:rsidP="001A232B">
            <w:r>
              <w:pict>
                <v:rect id="Rectangle 7" o:spid="_x0000_s2080" style="position:absolute;left:0;text-align:left;margin-left:46.45pt;margin-top:3.9pt;width:9pt;height:8.25pt;z-index:251846656;mso-position-horizontal-relative:text;mso-position-vertical-relative:text" filled="f" fillcolor="black"/>
              </w:pict>
            </w:r>
            <w:r>
              <w:pict>
                <v:rect id="_x0000_s2081" style="position:absolute;left:0;text-align:left;margin-left:250.55pt;margin-top:3.25pt;width:9pt;height:8.25pt;z-index:251847680;mso-position-horizontal-relative:text;mso-position-vertical-relative:text" filled="f" fillcolor="black"/>
              </w:pict>
            </w:r>
            <w:r>
              <w:pict>
                <v:rect id="_x0000_s2082" style="position:absolute;left:0;text-align:left;margin-left:119.5pt;margin-top:3.9pt;width:9pt;height:8.25pt;z-index:251848704;mso-position-horizontal-relative:text;mso-position-vertical-relative:text" filled="f" fillcolor="black"/>
              </w:pict>
            </w:r>
            <w:r w:rsidR="006B3DA9">
              <w:rPr>
                <w:szCs w:val="21"/>
              </w:rPr>
              <w:t xml:space="preserve">           </w:t>
            </w:r>
            <w:r w:rsidR="006B3DA9">
              <w:rPr>
                <w:rFonts w:hint="eastAsia"/>
                <w:szCs w:val="21"/>
              </w:rPr>
              <w:t>身份证</w:t>
            </w:r>
            <w:r w:rsidR="006B3DA9">
              <w:rPr>
                <w:szCs w:val="21"/>
              </w:rPr>
              <w:t xml:space="preserve">        </w:t>
            </w:r>
            <w:r w:rsidR="006B3DA9">
              <w:rPr>
                <w:rFonts w:hint="eastAsia"/>
                <w:szCs w:val="21"/>
              </w:rPr>
              <w:t>港澳台地区身份证</w:t>
            </w:r>
            <w:r w:rsidR="006B3DA9">
              <w:rPr>
                <w:szCs w:val="21"/>
              </w:rPr>
              <w:t xml:space="preserve">         </w:t>
            </w:r>
            <w:r w:rsidR="006B3DA9">
              <w:rPr>
                <w:rFonts w:hint="eastAsia"/>
                <w:szCs w:val="21"/>
              </w:rPr>
              <w:t>外籍护照</w:t>
            </w:r>
          </w:p>
        </w:tc>
      </w:tr>
      <w:tr w:rsidR="006B3DA9" w:rsidTr="001A232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A9" w:rsidRDefault="006B3DA9" w:rsidP="001A232B"/>
        </w:tc>
      </w:tr>
      <w:tr w:rsidR="006B3DA9" w:rsidTr="001A232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A9" w:rsidRDefault="006B3DA9" w:rsidP="001A232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A9" w:rsidRDefault="006B3DA9" w:rsidP="001A232B"/>
        </w:tc>
      </w:tr>
      <w:tr w:rsidR="006B3DA9" w:rsidTr="001A232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县</w:t>
            </w:r>
          </w:p>
        </w:tc>
      </w:tr>
      <w:tr w:rsidR="006B3DA9" w:rsidTr="001A232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A9" w:rsidRDefault="006B3DA9" w:rsidP="001A232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A9" w:rsidRDefault="006B3DA9" w:rsidP="001A232B"/>
        </w:tc>
      </w:tr>
      <w:tr w:rsidR="006B3DA9" w:rsidTr="001A232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A9" w:rsidRDefault="006B3DA9" w:rsidP="001A232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A9" w:rsidRDefault="006B3DA9" w:rsidP="001A232B"/>
        </w:tc>
      </w:tr>
      <w:tr w:rsidR="006B3DA9" w:rsidTr="001A232B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A9" w:rsidRDefault="006B3DA9" w:rsidP="001A232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A9" w:rsidRDefault="006B3DA9" w:rsidP="001A232B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A9" w:rsidRDefault="006B3DA9" w:rsidP="001A232B"/>
        </w:tc>
      </w:tr>
      <w:tr w:rsidR="006B3DA9" w:rsidTr="001A232B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B3DA9" w:rsidRDefault="006B3DA9" w:rsidP="001A232B">
            <w:pPr>
              <w:jc w:val="center"/>
            </w:pPr>
            <w:r>
              <w:rPr>
                <w:rFonts w:hint="eastAsia"/>
                <w:b/>
                <w:sz w:val="24"/>
              </w:rPr>
              <w:t>工作背景</w:t>
            </w:r>
          </w:p>
        </w:tc>
      </w:tr>
      <w:tr w:rsidR="006B3DA9" w:rsidTr="001A232B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全职工作时间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6B3DA9" w:rsidTr="001A232B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A9" w:rsidRDefault="006B3DA9" w:rsidP="001A232B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A9" w:rsidRDefault="006B3DA9" w:rsidP="001A232B"/>
        </w:tc>
      </w:tr>
      <w:tr w:rsidR="006B3DA9" w:rsidTr="001A232B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A9" w:rsidRDefault="006B3DA9" w:rsidP="001A232B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A9" w:rsidRDefault="006B3DA9" w:rsidP="001A232B"/>
        </w:tc>
      </w:tr>
      <w:tr w:rsidR="006B3DA9" w:rsidTr="001A232B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pPr>
              <w:jc w:val="right"/>
            </w:pPr>
            <w:r>
              <w:t xml:space="preserve">  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你管辖下的员工人数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A9" w:rsidRDefault="006B3DA9" w:rsidP="001A232B">
            <w:pPr>
              <w:jc w:val="right"/>
            </w:pPr>
          </w:p>
        </w:tc>
      </w:tr>
      <w:tr w:rsidR="006B3DA9" w:rsidTr="001A232B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6B3DA9" w:rsidTr="001A232B">
        <w:trPr>
          <w:trHeight w:val="44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  <w:szCs w:val="21"/>
              </w:rPr>
              <w:t>贵单位上年度净资产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6B3DA9" w:rsidTr="001A232B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B3DA9" w:rsidRDefault="006B3DA9" w:rsidP="001A232B">
            <w:pPr>
              <w:jc w:val="center"/>
            </w:pPr>
            <w:r>
              <w:rPr>
                <w:rFonts w:hint="eastAsia"/>
                <w:b/>
                <w:sz w:val="24"/>
              </w:rPr>
              <w:t>学籍档案材料</w:t>
            </w:r>
          </w:p>
        </w:tc>
      </w:tr>
      <w:tr w:rsidR="006B3DA9" w:rsidTr="001A232B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二寸蓝底近照</w:t>
            </w:r>
            <w:r>
              <w:t xml:space="preserve"> (</w:t>
            </w:r>
            <w:r>
              <w:rPr>
                <w:rFonts w:hint="eastAsia"/>
              </w:rPr>
              <w:t>电子版</w:t>
            </w:r>
            <w:r>
              <w:t xml:space="preserve">) 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 w:rsidR="006B3DA9" w:rsidTr="001A232B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最高学历</w:t>
            </w:r>
            <w: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 w:rsidR="006B3DA9" w:rsidTr="001A232B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9" w:rsidRDefault="006B3DA9" w:rsidP="001A232B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 w:rsidR="006B3DA9" w:rsidTr="001A232B">
        <w:trPr>
          <w:trHeight w:val="397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B3DA9" w:rsidRDefault="006B3DA9" w:rsidP="001A232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请将申请表发回至：</w:t>
            </w:r>
          </w:p>
        </w:tc>
      </w:tr>
      <w:tr w:rsidR="006B3DA9" w:rsidTr="001A232B">
        <w:trPr>
          <w:trHeight w:val="2035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A9" w:rsidRDefault="006B3DA9" w:rsidP="001A232B">
            <w:pPr>
              <w:tabs>
                <w:tab w:val="left" w:pos="6180"/>
                <w:tab w:val="left" w:pos="8475"/>
              </w:tabs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  <w:r w:rsidR="00C610E2">
              <w:rPr>
                <w:rFonts w:ascii="微软雅黑" w:eastAsia="微软雅黑" w:hAnsi="微软雅黑" w:hint="eastAsia"/>
                <w:spacing w:val="20"/>
                <w:szCs w:val="21"/>
              </w:rPr>
              <w:t>18210525661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  <w:p w:rsidR="006B3DA9" w:rsidRDefault="00C610E2" w:rsidP="001A232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信</w:t>
            </w:r>
            <w:r w:rsidR="006B3DA9">
              <w:rPr>
                <w:rFonts w:hint="eastAsia"/>
                <w:szCs w:val="21"/>
              </w:rPr>
              <w:t>：</w:t>
            </w:r>
            <w:r>
              <w:rPr>
                <w:rFonts w:ascii="微软雅黑" w:eastAsia="微软雅黑" w:hAnsi="微软雅黑" w:hint="eastAsia"/>
                <w:spacing w:val="20"/>
                <w:szCs w:val="21"/>
              </w:rPr>
              <w:t xml:space="preserve"> L48822846</w:t>
            </w:r>
          </w:p>
          <w:p w:rsidR="006B3DA9" w:rsidRDefault="006B3DA9" w:rsidP="001A232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</w:tbl>
    <w:p w:rsidR="006B3DA9" w:rsidRPr="006347E9" w:rsidRDefault="006B3DA9" w:rsidP="006B3DA9">
      <w:pPr>
        <w:spacing w:line="620" w:lineRule="exact"/>
        <w:ind w:rightChars="-231" w:right="-485"/>
        <w:rPr>
          <w:szCs w:val="21"/>
          <w:u w:val="single"/>
        </w:rPr>
      </w:pPr>
      <w:r>
        <w:rPr>
          <w:szCs w:val="21"/>
        </w:rPr>
        <w:lastRenderedPageBreak/>
        <w:t xml:space="preserve">                                                               </w:t>
      </w:r>
      <w:r>
        <w:rPr>
          <w:rFonts w:hint="eastAsia"/>
          <w:szCs w:val="21"/>
        </w:rPr>
        <w:t>本人签字</w:t>
      </w:r>
      <w:r>
        <w:rPr>
          <w:szCs w:val="21"/>
          <w:u w:val="single"/>
        </w:rPr>
        <w:t xml:space="preserve">               </w:t>
      </w:r>
    </w:p>
    <w:p w:rsidR="006B3DA9" w:rsidRDefault="006B3DA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sectPr w:rsidR="006B3DA9" w:rsidSect="009B4A3E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FD" w:rsidRDefault="00762DFD" w:rsidP="009B4A3E">
      <w:r>
        <w:separator/>
      </w:r>
    </w:p>
  </w:endnote>
  <w:endnote w:type="continuationSeparator" w:id="1">
    <w:p w:rsidR="00762DFD" w:rsidRDefault="00762DFD" w:rsidP="009B4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39"/>
    </w:sdtPr>
    <w:sdtContent>
      <w:p w:rsidR="009B4A3E" w:rsidRDefault="00C874C8" w:rsidP="00C874C8">
        <w:pPr>
          <w:pStyle w:val="a4"/>
          <w:wordWrap w:val="0"/>
          <w:jc w:val="right"/>
        </w:pPr>
        <w:r>
          <w:rPr>
            <w:rFonts w:hint="eastAsia"/>
          </w:rPr>
          <w:t>李京</w:t>
        </w:r>
        <w:r w:rsidR="00E67DBE">
          <w:rPr>
            <w:rFonts w:hint="eastAsia"/>
          </w:rPr>
          <w:t xml:space="preserve">       18210525661    </w:t>
        </w:r>
        <w:r w:rsidR="00E67DBE">
          <w:rPr>
            <w:rFonts w:hint="eastAsia"/>
          </w:rPr>
          <w:t>微信：</w:t>
        </w:r>
        <w:r w:rsidR="00E67DBE">
          <w:rPr>
            <w:rFonts w:hint="eastAsia"/>
          </w:rPr>
          <w:t>L48822846</w:t>
        </w:r>
        <w:r>
          <w:rPr>
            <w:rFonts w:hint="eastAsia"/>
          </w:rPr>
          <w:t xml:space="preserve">                                             </w:t>
        </w:r>
        <w:r w:rsidR="00E65743">
          <w:rPr>
            <w:rFonts w:ascii="微软雅黑" w:eastAsia="微软雅黑" w:hAnsi="微软雅黑" w:hint="eastAsia"/>
            <w:sz w:val="21"/>
            <w:szCs w:val="21"/>
          </w:rPr>
          <w:t xml:space="preserve">BEIFENG </w:t>
        </w:r>
        <w:r w:rsidR="0059557C">
          <w:rPr>
            <w:rFonts w:ascii="微软雅黑" w:eastAsia="微软雅黑" w:hAnsi="微软雅黑"/>
            <w:sz w:val="21"/>
            <w:szCs w:val="21"/>
          </w:rPr>
          <w:fldChar w:fldCharType="begin"/>
        </w:r>
        <w:r w:rsidR="00E65743">
          <w:rPr>
            <w:rFonts w:ascii="微软雅黑" w:eastAsia="微软雅黑" w:hAnsi="微软雅黑"/>
            <w:sz w:val="21"/>
            <w:szCs w:val="21"/>
          </w:rPr>
          <w:instrText xml:space="preserve"> PAGE   \* MERGEFORMAT </w:instrText>
        </w:r>
        <w:r w:rsidR="0059557C">
          <w:rPr>
            <w:rFonts w:ascii="微软雅黑" w:eastAsia="微软雅黑" w:hAnsi="微软雅黑"/>
            <w:sz w:val="21"/>
            <w:szCs w:val="21"/>
          </w:rPr>
          <w:fldChar w:fldCharType="separate"/>
        </w:r>
        <w:r w:rsidR="00E67DBE">
          <w:rPr>
            <w:rFonts w:ascii="微软雅黑" w:eastAsia="微软雅黑" w:hAnsi="微软雅黑"/>
            <w:noProof/>
            <w:sz w:val="21"/>
            <w:szCs w:val="21"/>
          </w:rPr>
          <w:t>9</w:t>
        </w:r>
        <w:r w:rsidR="0059557C">
          <w:rPr>
            <w:rFonts w:ascii="微软雅黑" w:eastAsia="微软雅黑" w:hAnsi="微软雅黑"/>
            <w:sz w:val="21"/>
            <w:szCs w:val="21"/>
          </w:rPr>
          <w:fldChar w:fldCharType="end"/>
        </w:r>
      </w:p>
    </w:sdtContent>
  </w:sdt>
  <w:p w:rsidR="009B4A3E" w:rsidRDefault="009B4A3E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FD" w:rsidRDefault="00762DFD" w:rsidP="009B4A3E">
      <w:r>
        <w:separator/>
      </w:r>
    </w:p>
  </w:footnote>
  <w:footnote w:type="continuationSeparator" w:id="1">
    <w:p w:rsidR="00762DFD" w:rsidRDefault="00762DFD" w:rsidP="009B4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72" w:rsidRDefault="00456D72" w:rsidP="0001105B">
    <w:pPr>
      <w:pStyle w:val="a5"/>
      <w:jc w:val="both"/>
    </w:pPr>
  </w:p>
  <w:p w:rsidR="00456D72" w:rsidRDefault="00456D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25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05BDF"/>
    <w:rsid w:val="0001105B"/>
    <w:rsid w:val="0002666F"/>
    <w:rsid w:val="00055FD3"/>
    <w:rsid w:val="00061499"/>
    <w:rsid w:val="000A345E"/>
    <w:rsid w:val="000E26DD"/>
    <w:rsid w:val="00107EC7"/>
    <w:rsid w:val="00110E18"/>
    <w:rsid w:val="00142CDD"/>
    <w:rsid w:val="001569AD"/>
    <w:rsid w:val="001731CA"/>
    <w:rsid w:val="001B5DCF"/>
    <w:rsid w:val="002419D5"/>
    <w:rsid w:val="00241C2B"/>
    <w:rsid w:val="002645A4"/>
    <w:rsid w:val="0028628D"/>
    <w:rsid w:val="002C524B"/>
    <w:rsid w:val="002D5337"/>
    <w:rsid w:val="002E0584"/>
    <w:rsid w:val="00313CB9"/>
    <w:rsid w:val="003F363F"/>
    <w:rsid w:val="004373F1"/>
    <w:rsid w:val="00440B5F"/>
    <w:rsid w:val="00454501"/>
    <w:rsid w:val="00456D72"/>
    <w:rsid w:val="004839AB"/>
    <w:rsid w:val="00492FAA"/>
    <w:rsid w:val="004B1C34"/>
    <w:rsid w:val="00503F33"/>
    <w:rsid w:val="00517C17"/>
    <w:rsid w:val="005703B2"/>
    <w:rsid w:val="0059557C"/>
    <w:rsid w:val="005E1B57"/>
    <w:rsid w:val="005F1519"/>
    <w:rsid w:val="00633398"/>
    <w:rsid w:val="006562E5"/>
    <w:rsid w:val="006B3DA9"/>
    <w:rsid w:val="006F1366"/>
    <w:rsid w:val="0071542F"/>
    <w:rsid w:val="00733100"/>
    <w:rsid w:val="007530D7"/>
    <w:rsid w:val="00762DFD"/>
    <w:rsid w:val="007A46C3"/>
    <w:rsid w:val="00803B3F"/>
    <w:rsid w:val="008072E0"/>
    <w:rsid w:val="00830FBE"/>
    <w:rsid w:val="0084692D"/>
    <w:rsid w:val="00855B35"/>
    <w:rsid w:val="008767F9"/>
    <w:rsid w:val="00877588"/>
    <w:rsid w:val="008B2B8A"/>
    <w:rsid w:val="008F1BE8"/>
    <w:rsid w:val="008F3677"/>
    <w:rsid w:val="00906025"/>
    <w:rsid w:val="009636AD"/>
    <w:rsid w:val="00986F12"/>
    <w:rsid w:val="00990952"/>
    <w:rsid w:val="00993DFE"/>
    <w:rsid w:val="009B4A3E"/>
    <w:rsid w:val="00A05BDF"/>
    <w:rsid w:val="00A43CB5"/>
    <w:rsid w:val="00A4556C"/>
    <w:rsid w:val="00A962A6"/>
    <w:rsid w:val="00AA7B81"/>
    <w:rsid w:val="00B22965"/>
    <w:rsid w:val="00B258FE"/>
    <w:rsid w:val="00B67E3A"/>
    <w:rsid w:val="00BB4388"/>
    <w:rsid w:val="00BC1ED7"/>
    <w:rsid w:val="00C17F1E"/>
    <w:rsid w:val="00C32AE8"/>
    <w:rsid w:val="00C51570"/>
    <w:rsid w:val="00C610E2"/>
    <w:rsid w:val="00C77B97"/>
    <w:rsid w:val="00C874C8"/>
    <w:rsid w:val="00CB1F71"/>
    <w:rsid w:val="00D166A8"/>
    <w:rsid w:val="00D87402"/>
    <w:rsid w:val="00DA5FDA"/>
    <w:rsid w:val="00DC3D6C"/>
    <w:rsid w:val="00DD2DB6"/>
    <w:rsid w:val="00DD657C"/>
    <w:rsid w:val="00E05138"/>
    <w:rsid w:val="00E22012"/>
    <w:rsid w:val="00E23306"/>
    <w:rsid w:val="00E319EA"/>
    <w:rsid w:val="00E65743"/>
    <w:rsid w:val="00E67DBE"/>
    <w:rsid w:val="00E835FD"/>
    <w:rsid w:val="00EB076B"/>
    <w:rsid w:val="00EE55BB"/>
    <w:rsid w:val="00F44B4A"/>
    <w:rsid w:val="00F51232"/>
    <w:rsid w:val="00F54B90"/>
    <w:rsid w:val="00F9154B"/>
    <w:rsid w:val="00FE56CF"/>
    <w:rsid w:val="18CD4F69"/>
    <w:rsid w:val="32AB635A"/>
    <w:rsid w:val="77562EA9"/>
    <w:rsid w:val="7B9E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Contemporary" w:semiHidden="0" w:uiPriority="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B4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B4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B4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Contemporary"/>
    <w:basedOn w:val="a1"/>
    <w:qFormat/>
    <w:rsid w:val="009B4A3E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Char1">
    <w:name w:val="页眉 Char"/>
    <w:basedOn w:val="a0"/>
    <w:link w:val="a5"/>
    <w:uiPriority w:val="99"/>
    <w:qFormat/>
    <w:rsid w:val="009B4A3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4A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B4A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1"/>
    <customShpInfo spid="_x0000_s2062"/>
    <customShpInfo spid="_x0000_s2066"/>
    <customShpInfo spid="_x0000_s2065"/>
    <customShpInfo spid="_x0000_s2069"/>
    <customShpInfo spid="_x0000_s2070"/>
    <customShpInfo spid="_x0000_s2073"/>
    <customShpInfo spid="_x0000_s2074"/>
    <customShpInfo spid="_x0000_s2078"/>
    <customShpInfo spid="_x0000_s2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Windows 用户</cp:lastModifiedBy>
  <cp:revision>28</cp:revision>
  <dcterms:created xsi:type="dcterms:W3CDTF">2017-12-05T02:10:00Z</dcterms:created>
  <dcterms:modified xsi:type="dcterms:W3CDTF">2018-08-16T08:28:00Z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